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5" w:hRule="atLeast"/>
        </w:trPr>
        <w:tc>
          <w:tcPr>
            <w:tcW w:w="8522" w:type="dxa"/>
          </w:tcPr>
          <w:p>
            <w:pPr>
              <w:pStyle w:val="3"/>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b/>
                <w:bCs/>
                <w:color w:val="FF0000"/>
                <w:sz w:val="22"/>
                <w:szCs w:val="22"/>
                <w:lang w:val="en-US" w:eastAsia="zh-CN"/>
              </w:rPr>
            </w:pPr>
            <w:r>
              <w:rPr>
                <w:rFonts w:hint="eastAsia" w:ascii="仿宋" w:hAnsi="仿宋" w:eastAsia="仿宋" w:cs="仿宋"/>
                <w:b/>
                <w:bCs/>
                <w:color w:val="FF0000"/>
                <w:sz w:val="22"/>
                <w:szCs w:val="22"/>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2" w:hRule="atLeast"/>
        </w:trPr>
        <w:tc>
          <w:tcPr>
            <w:tcW w:w="8522" w:type="dxa"/>
          </w:tcPr>
          <w:p>
            <w:pPr>
              <w:pStyle w:val="9"/>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2020年度</w:t>
            </w:r>
          </w:p>
          <w:p>
            <w:pPr>
              <w:pStyle w:val="9"/>
              <w:jc w:val="center"/>
              <w:rPr>
                <w:rFonts w:hint="default" w:ascii="宋体" w:hAnsi="宋体" w:eastAsia="宋体" w:cs="宋体"/>
                <w:b/>
                <w:bCs/>
                <w:sz w:val="52"/>
                <w:szCs w:val="52"/>
                <w:lang w:val="en-US" w:eastAsia="zh-CN"/>
              </w:rPr>
            </w:pPr>
            <w:r>
              <w:rPr>
                <w:rFonts w:hint="default" w:ascii="宋体" w:hAnsi="宋体" w:eastAsia="宋体" w:cs="宋体"/>
                <w:b/>
                <w:bCs/>
                <w:sz w:val="52"/>
                <w:szCs w:val="52"/>
                <w:lang w:val="en-US" w:eastAsia="zh-CN"/>
              </w:rPr>
              <w:t>衡阳市实验小学</w:t>
            </w:r>
            <w:r>
              <w:rPr>
                <w:rFonts w:ascii="宋体" w:hAnsi="宋体" w:cs="宋体" w:eastAsia="宋体"/>
                <w:b w:val="true"/>
                <w:sz w:val="52"/>
              </w:rPr>
              <w:t>部门</w:t>
            </w:r>
            <w:r>
              <w:rPr>
                <w:rFonts w:hint="eastAsia" w:ascii="宋体" w:hAnsi="宋体" w:eastAsia="宋体" w:cs="宋体"/>
                <w:b/>
                <w:bCs/>
                <w:sz w:val="52"/>
                <w:szCs w:val="52"/>
                <w:lang w:val="en-US" w:eastAsia="zh-CN"/>
              </w:rPr>
              <w:t>决算</w:t>
            </w:r>
          </w:p>
          <w:p>
            <w:pPr>
              <w:pStyle w:val="9"/>
              <w:jc w:val="center"/>
              <w:rPr>
                <w:rFonts w:hint="default" w:ascii="宋体" w:hAnsi="宋体" w:eastAsia="宋体" w:cs="宋体"/>
                <w:b/>
                <w:bCs/>
                <w:sz w:val="52"/>
                <w:szCs w:val="5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2" w:hRule="atLeast"/>
        </w:trPr>
        <w:tc>
          <w:tcPr>
            <w:tcW w:w="8522" w:type="dxa"/>
          </w:tcPr>
          <w:p>
            <w:pPr>
              <w:pStyle w:val="9"/>
              <w:jc w:val="both"/>
              <w:rPr>
                <w:rFonts w:hint="eastAsia"/>
                <w:sz w:val="44"/>
                <w:szCs w:val="44"/>
                <w:vertAlign w:val="baseline"/>
                <w:lang w:val="en-US" w:eastAsia="zh-CN"/>
              </w:rPr>
            </w:pPr>
          </w:p>
        </w:tc>
      </w:tr>
    </w:tbl>
    <w:p>
      <w:pPr>
        <w:pStyle w:val="9"/>
        <w:rPr>
          <w:rFonts w:hint="eastAsia"/>
          <w:sz w:val="32"/>
          <w:szCs w:val="32"/>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p>
    <w:p>
      <w:pPr>
        <w:pStyle w:val="9"/>
        <w:spacing w:line="500" w:lineRule="exact"/>
        <w:jc w:val="center"/>
        <w:rPr>
          <w:rFonts w:hint="eastAsia" w:ascii="仿宋" w:hAnsi="仿宋" w:eastAsia="仿宋" w:cs="仿宋"/>
          <w:b/>
          <w:sz w:val="32"/>
          <w:szCs w:val="32"/>
        </w:rPr>
      </w:pPr>
      <w:r>
        <w:rPr>
          <w:rFonts w:hint="eastAsia" w:ascii="仿宋" w:hAnsi="仿宋" w:eastAsia="仿宋" w:cs="仿宋"/>
          <w:b/>
          <w:sz w:val="32"/>
          <w:szCs w:val="32"/>
        </w:rPr>
        <w:t>目录</w:t>
      </w:r>
    </w:p>
    <w:p>
      <w:pPr>
        <w:pStyle w:val="9"/>
        <w:keepNext w:val="0"/>
        <w:keepLines w:val="0"/>
        <w:pageBreakBefore w:val="0"/>
        <w:widowControl w:val="0"/>
        <w:kinsoku/>
        <w:wordWrap/>
        <w:overflowPunct/>
        <w:topLinePunct w:val="0"/>
        <w:bidi w:val="0"/>
        <w:adjustRightInd/>
        <w:snapToGrid/>
        <w:spacing w:line="440" w:lineRule="exact"/>
        <w:textAlignment w:val="auto"/>
        <w:rPr>
          <w:rFonts w:hint="eastAsia" w:ascii="仿宋" w:hAnsi="仿宋" w:eastAsia="仿宋" w:cs="仿宋"/>
          <w:b/>
          <w:sz w:val="28"/>
          <w:szCs w:val="28"/>
        </w:rPr>
      </w:pPr>
      <w:r>
        <w:rPr>
          <w:rFonts w:hint="eastAsia" w:ascii="仿宋" w:hAnsi="仿宋" w:eastAsia="仿宋" w:cs="仿宋"/>
          <w:b/>
          <w:sz w:val="28"/>
          <w:szCs w:val="28"/>
        </w:rPr>
        <w:t>第一部分</w:t>
      </w:r>
      <w:r>
        <w:rPr>
          <w:rFonts w:ascii="仿宋" w:hAnsi="仿宋" w:cs="仿宋" w:eastAsia="仿宋"/>
          <w:b w:val="true"/>
          <w:sz w:val="28"/>
        </w:rPr>
        <w:t>衡阳市实验小学</w:t>
      </w:r>
      <w:r>
        <w:rPr>
          <w:rFonts w:ascii="仿宋" w:hAnsi="仿宋" w:cs="仿宋" w:eastAsia="仿宋"/>
          <w:b w:val="true"/>
          <w:sz w:val="28"/>
        </w:rPr>
        <w:t>部门</w:t>
      </w:r>
      <w:r>
        <w:rPr>
          <w:rFonts w:ascii="仿宋" w:hAnsi="仿宋" w:cs="仿宋" w:eastAsia="仿宋"/>
          <w:b w:val="true"/>
          <w:sz w:val="28"/>
        </w:rPr>
        <w:t>概况</w:t>
      </w:r>
    </w:p>
    <w:p>
      <w:pPr>
        <w:pStyle w:val="9"/>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w:t>
      </w:r>
      <w:r>
        <w:rPr>
          <w:rFonts w:ascii="仿宋" w:hAnsi="仿宋" w:cs="仿宋" w:eastAsia="仿宋"/>
          <w:sz w:val="28"/>
        </w:rPr>
        <w:t>部门</w:t>
      </w:r>
      <w:r>
        <w:rPr>
          <w:rFonts w:ascii="仿宋" w:hAnsi="仿宋" w:cs="仿宋" w:eastAsia="仿宋"/>
          <w:sz w:val="28"/>
        </w:rPr>
        <w:t>职责</w:t>
      </w:r>
    </w:p>
    <w:p>
      <w:pPr>
        <w:pStyle w:val="9"/>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二、机构设置</w:t>
      </w:r>
    </w:p>
    <w:p>
      <w:pPr>
        <w:pStyle w:val="9"/>
        <w:keepNext w:val="0"/>
        <w:keepLines w:val="0"/>
        <w:pageBreakBefore w:val="0"/>
        <w:widowControl w:val="0"/>
        <w:kinsoku/>
        <w:wordWrap/>
        <w:overflowPunct/>
        <w:topLinePunct w:val="0"/>
        <w:bidi w:val="0"/>
        <w:adjustRightInd/>
        <w:snapToGrid/>
        <w:spacing w:line="440" w:lineRule="exact"/>
        <w:textAlignment w:val="auto"/>
        <w:rPr>
          <w:rFonts w:hint="eastAsia" w:ascii="仿宋" w:hAnsi="仿宋" w:eastAsia="仿宋" w:cs="仿宋"/>
          <w:b/>
          <w:sz w:val="28"/>
          <w:szCs w:val="28"/>
        </w:rPr>
      </w:pPr>
      <w:r>
        <w:rPr>
          <w:rFonts w:hint="eastAsia" w:ascii="仿宋" w:hAnsi="仿宋" w:eastAsia="仿宋" w:cs="仿宋"/>
          <w:b/>
          <w:sz w:val="28"/>
          <w:szCs w:val="28"/>
        </w:rPr>
        <w:t>第二部分2020年度部门决算表</w:t>
      </w:r>
    </w:p>
    <w:p>
      <w:pPr>
        <w:pStyle w:val="9"/>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一、收入支出决算总表</w:t>
      </w:r>
    </w:p>
    <w:p>
      <w:pPr>
        <w:pStyle w:val="9"/>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二、收入决算表</w:t>
      </w:r>
    </w:p>
    <w:p>
      <w:pPr>
        <w:pStyle w:val="9"/>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三、支出决算表</w:t>
      </w:r>
    </w:p>
    <w:p>
      <w:pPr>
        <w:pStyle w:val="9"/>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四、财政拨款收入支出决算总表</w:t>
      </w:r>
    </w:p>
    <w:p>
      <w:pPr>
        <w:pStyle w:val="9"/>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五、一般公共预算财政拨款支出决算表</w:t>
      </w:r>
    </w:p>
    <w:p>
      <w:pPr>
        <w:pStyle w:val="9"/>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六、一般公共预算财政拨款基本支出决算表</w:t>
      </w:r>
    </w:p>
    <w:p>
      <w:pPr>
        <w:pStyle w:val="9"/>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七、一般公共预算财政拨款“三公”经费支出决算表</w:t>
      </w:r>
    </w:p>
    <w:p>
      <w:pPr>
        <w:pStyle w:val="9"/>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八、政府性基金预算财政拨款收入支出决算表</w:t>
      </w:r>
    </w:p>
    <w:p>
      <w:pPr>
        <w:pStyle w:val="9"/>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九、国有资本经营预算财政拨款支出决算表</w:t>
      </w:r>
    </w:p>
    <w:p>
      <w:pPr>
        <w:pStyle w:val="9"/>
        <w:keepNext w:val="0"/>
        <w:keepLines w:val="0"/>
        <w:pageBreakBefore w:val="0"/>
        <w:widowControl w:val="0"/>
        <w:kinsoku/>
        <w:wordWrap/>
        <w:overflowPunct/>
        <w:topLinePunct w:val="0"/>
        <w:bidi w:val="0"/>
        <w:adjustRightInd/>
        <w:snapToGrid/>
        <w:spacing w:line="440" w:lineRule="exact"/>
        <w:textAlignment w:val="auto"/>
        <w:rPr>
          <w:rFonts w:hint="eastAsia" w:ascii="仿宋" w:hAnsi="仿宋" w:eastAsia="仿宋" w:cs="仿宋"/>
          <w:b/>
          <w:sz w:val="28"/>
          <w:szCs w:val="28"/>
        </w:rPr>
      </w:pPr>
      <w:r>
        <w:rPr>
          <w:rFonts w:hint="eastAsia" w:ascii="仿宋" w:hAnsi="仿宋" w:eastAsia="仿宋" w:cs="仿宋"/>
          <w:b/>
          <w:sz w:val="28"/>
          <w:szCs w:val="28"/>
        </w:rPr>
        <w:t>第三部分2020年度部门决算情况说明</w:t>
      </w:r>
    </w:p>
    <w:p>
      <w:pPr>
        <w:pStyle w:val="9"/>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一、收入支出决算总体情况说明</w:t>
      </w:r>
    </w:p>
    <w:p>
      <w:pPr>
        <w:keepNext w:val="0"/>
        <w:keepLines w:val="0"/>
        <w:pageBreakBefore w:val="0"/>
        <w:widowControl w:val="0"/>
        <w:kinsoku/>
        <w:wordWrap/>
        <w:overflowPunct/>
        <w:topLinePunct w:val="0"/>
        <w:bidi w:val="0"/>
        <w:adjustRightInd/>
        <w:snapToGrid/>
        <w:spacing w:line="44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二、收入决算情况说明</w:t>
      </w:r>
    </w:p>
    <w:p>
      <w:pPr>
        <w:keepNext w:val="0"/>
        <w:keepLines w:val="0"/>
        <w:pageBreakBefore w:val="0"/>
        <w:widowControl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七、一般公共预算财政拨款三公经费支出决算情况说明</w:t>
      </w:r>
    </w:p>
    <w:p>
      <w:pPr>
        <w:keepNext w:val="0"/>
        <w:keepLines w:val="0"/>
        <w:pageBreakBefore w:val="0"/>
        <w:widowControl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八、政府性基金预算收入支出决算情况</w:t>
      </w:r>
    </w:p>
    <w:p>
      <w:pPr>
        <w:keepNext w:val="0"/>
        <w:keepLines w:val="0"/>
        <w:pageBreakBefore w:val="0"/>
        <w:widowControl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九、关于机关运行经费支出说明</w:t>
      </w:r>
    </w:p>
    <w:p>
      <w:pPr>
        <w:keepNext w:val="0"/>
        <w:keepLines w:val="0"/>
        <w:pageBreakBefore w:val="0"/>
        <w:widowControl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十、一般性支出情况</w:t>
      </w:r>
    </w:p>
    <w:p>
      <w:pPr>
        <w:keepNext w:val="0"/>
        <w:keepLines w:val="0"/>
        <w:pageBreakBefore w:val="0"/>
        <w:widowControl w:val="0"/>
        <w:kinsoku/>
        <w:wordWrap/>
        <w:overflowPunct/>
        <w:topLinePunct w:val="0"/>
        <w:autoSpaceDE w:val="0"/>
        <w:autoSpaceDN w:val="0"/>
        <w:bidi w:val="0"/>
        <w:adjustRightInd/>
        <w:snapToGrid/>
        <w:spacing w:line="44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十一、关于政府采购支出说明</w:t>
      </w:r>
    </w:p>
    <w:p>
      <w:pPr>
        <w:pStyle w:val="9"/>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十二、关于国有资产占用情况说明</w:t>
      </w:r>
    </w:p>
    <w:p>
      <w:pPr>
        <w:pStyle w:val="9"/>
        <w:keepNext w:val="0"/>
        <w:keepLines w:val="0"/>
        <w:pageBreakBefore w:val="0"/>
        <w:widowControl w:val="0"/>
        <w:kinsoku/>
        <w:wordWrap/>
        <w:overflowPunct/>
        <w:topLinePunct w:val="0"/>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十三、关于2020年度预算绩效情况的说明</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第四部分名词解释</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
      </w:r>
      <w:r>
        <w:rPr>
          <w:rFonts w:ascii="仿宋" w:hAnsi="仿宋" w:cs="仿宋" w:eastAsia="仿宋"/>
          <w:b w:val="true"/>
          <w:color w:val="000000"/>
          <w:sz w:val="28"/>
        </w:rPr>
        <w:t>第</w:t>
      </w:r>
      <w:r>
        <w:rPr>
          <w:rFonts w:hint="eastAsia" w:ascii="仿宋" w:hAnsi="仿宋" w:eastAsia="仿宋" w:cs="仿宋"/>
          <w:b/>
          <w:color w:val="000000"/>
          <w:kern w:val="0"/>
          <w:sz w:val="28"/>
          <w:szCs w:val="28"/>
          <w:lang w:val="en-US" w:eastAsia="zh-CN"/>
        </w:rPr>
        <w:t>五</w:t>
      </w:r>
      <w:r>
        <w:rPr>
          <w:rFonts w:hint="eastAsia" w:ascii="仿宋" w:hAnsi="仿宋" w:eastAsia="仿宋" w:cs="仿宋"/>
          <w:b/>
          <w:color w:val="000000"/>
          <w:kern w:val="0"/>
          <w:sz w:val="28"/>
          <w:szCs w:val="28"/>
        </w:rPr>
        <w:t>部分</w:t>
      </w:r>
      <w:r>
        <w:rPr>
          <w:rFonts w:hint="eastAsia" w:ascii="仿宋" w:hAnsi="仿宋" w:eastAsia="仿宋" w:cs="仿宋"/>
          <w:b/>
          <w:color w:val="000000"/>
          <w:kern w:val="0"/>
          <w:sz w:val="28"/>
          <w:szCs w:val="28"/>
          <w:lang w:val="en-US" w:eastAsia="zh-CN"/>
        </w:rPr>
        <w:t>附件</w:t>
      </w:r>
      <w:r>
        <w:rPr>
          <w:rFonts w:hint="eastAsia" w:ascii="仿宋" w:hAnsi="仿宋" w:eastAsia="仿宋" w:cs="仿宋"/>
          <w:b/>
          <w:color w:val="000000"/>
          <w:kern w:val="0"/>
          <w:sz w:val="28"/>
          <w:szCs w:val="28"/>
        </w:rPr>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仿宋" w:hAnsi="仿宋" w:eastAsia="仿宋" w:cs="仿宋"/>
          <w:b/>
          <w:color w:val="000000"/>
          <w:kern w:val="0"/>
          <w:sz w:val="28"/>
          <w:szCs w:val="28"/>
        </w:rPr>
        <w:sectPr>
          <w:footerReference r:id="rId5" w:type="default"/>
          <w:pgSz w:w="11906" w:h="16838"/>
          <w:pgMar w:top="1440" w:right="1800" w:bottom="1440" w:left="1800" w:header="851" w:footer="992" w:gutter="0"/>
          <w:pgNumType w:fmt="numberInDash" w:start="1"/>
          <w:cols w:space="425" w:num="1"/>
          <w:docGrid w:type="lines" w:linePitch="312" w:charSpace="0"/>
        </w:sect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9"/>
        <w:jc w:val="center"/>
        <w:rPr>
          <w:rFonts w:hint="eastAsia" w:ascii="仿宋" w:hAnsi="仿宋" w:eastAsia="仿宋" w:cs="仿宋"/>
          <w:b/>
          <w:bCs/>
          <w:sz w:val="52"/>
          <w:szCs w:val="52"/>
        </w:rPr>
      </w:pPr>
      <w:r>
        <w:rPr>
          <w:rFonts w:hint="eastAsia" w:ascii="仿宋" w:hAnsi="仿宋" w:eastAsia="仿宋" w:cs="仿宋"/>
          <w:b/>
          <w:bCs/>
          <w:sz w:val="52"/>
          <w:szCs w:val="52"/>
        </w:rPr>
        <w:t>第一部分</w:t>
      </w:r>
    </w:p>
    <w:p>
      <w:pPr>
        <w:pStyle w:val="9"/>
        <w:jc w:val="center"/>
        <w:rPr>
          <w:rFonts w:hint="eastAsia" w:ascii="仿宋" w:hAnsi="仿宋" w:eastAsia="仿宋" w:cs="仿宋"/>
          <w:b/>
          <w:bCs/>
          <w:sz w:val="52"/>
          <w:szCs w:val="52"/>
        </w:rPr>
      </w:pPr>
    </w:p>
    <w:p>
      <w:pPr>
        <w:pStyle w:val="9"/>
        <w:jc w:val="center"/>
        <w:rPr>
          <w:rFonts w:hint="eastAsia" w:ascii="仿宋" w:hAnsi="仿宋" w:eastAsia="仿宋" w:cs="仿宋"/>
          <w:b/>
          <w:bCs/>
          <w:sz w:val="52"/>
          <w:szCs w:val="52"/>
        </w:rPr>
      </w:pPr>
      <w:r>
        <w:rPr>
          <w:rFonts w:hint="eastAsia" w:ascii="仿宋" w:hAnsi="仿宋" w:eastAsia="仿宋" w:cs="仿宋"/>
          <w:b/>
          <w:bCs/>
          <w:sz w:val="52"/>
          <w:szCs w:val="52"/>
        </w:rPr>
        <w:t>衡阳市实验小学</w:t>
      </w:r>
    </w:p>
    <w:p>
      <w:pPr>
        <w:pStyle w:val="9"/>
        <w:jc w:val="center"/>
        <w:rPr>
          <w:rFonts w:hint="eastAsia" w:ascii="仿宋" w:hAnsi="仿宋" w:eastAsia="仿宋" w:cs="仿宋"/>
          <w:b/>
          <w:bCs/>
          <w:sz w:val="48"/>
          <w:szCs w:val="48"/>
        </w:rPr>
      </w:pPr>
      <w:r>
        <w:rPr>
          <w:rFonts w:hint="eastAsia" w:ascii="仿宋" w:hAnsi="仿宋" w:eastAsia="仿宋" w:cs="仿宋"/>
          <w:b/>
          <w:bCs/>
          <w:sz w:val="52"/>
          <w:szCs w:val="52"/>
        </w:rPr>
        <w:t>部门</w:t>
      </w:r>
      <w:r>
        <w:rPr>
          <w:rFonts w:ascii="仿宋" w:hAnsi="仿宋" w:cs="仿宋" w:eastAsia="仿宋"/>
          <w:b w:val="true"/>
          <w:sz w:val="52"/>
        </w:rPr>
        <w:t>概况</w:t>
      </w:r>
    </w:p>
    <w:p>
      <w:pPr>
        <w:rPr>
          <w:rFonts w:ascii="黑体" w:hAnsi="黑体" w:eastAsia="黑体"/>
          <w:sz w:val="32"/>
          <w:szCs w:val="32"/>
        </w:rPr>
      </w:pPr>
      <w:r>
        <w:rPr>
          <w:rFonts w:ascii="黑体" w:hAnsi="黑体" w:eastAsia="黑体"/>
          <w:sz w:val="32"/>
          <w:szCs w:val="32"/>
        </w:rPr>
        <w:br w:type="page"/>
      </w:r>
    </w:p>
    <w:p>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default" w:ascii="仿宋" w:hAnsi="仿宋" w:eastAsia="仿宋" w:cs="仿宋"/>
          <w:b/>
          <w:bCs/>
          <w:color w:val="auto"/>
          <w:kern w:val="0"/>
          <w:lang w:val="en-US" w:eastAsia="zh-CN" w:bidi="zh-CN"/>
        </w:rPr>
      </w:pPr>
      <w:r>
        <w:rPr>
          <w:rFonts w:hint="eastAsia" w:ascii="仿宋" w:hAnsi="仿宋" w:eastAsia="仿宋" w:cs="仿宋"/>
          <w:b/>
          <w:bCs/>
          <w:color w:val="auto"/>
          <w:kern w:val="0"/>
          <w:lang w:val="en-US" w:eastAsia="zh-CN" w:bidi="zh-CN"/>
        </w:rPr>
        <w:t>一</w:t>
      </w:r>
      <w:r>
        <w:rPr>
          <w:rFonts w:hint="eastAsia" w:ascii="仿宋" w:hAnsi="仿宋" w:eastAsia="仿宋" w:cs="仿宋"/>
          <w:b/>
          <w:bCs/>
          <w:color w:val="auto"/>
          <w:kern w:val="0"/>
          <w:lang w:val="zh-CN" w:bidi="zh-CN"/>
        </w:rPr>
        <w:t>、</w:t>
      </w:r>
      <w:r>
        <w:rPr>
          <w:rFonts w:hint="eastAsia" w:ascii="仿宋" w:hAnsi="仿宋" w:eastAsia="仿宋" w:cs="仿宋"/>
          <w:b/>
          <w:bCs/>
          <w:color w:val="auto"/>
          <w:kern w:val="0"/>
          <w:lang w:val="en-US" w:eastAsia="zh-CN" w:bidi="zh-CN"/>
        </w:rPr>
        <w:t>部门职责</w:t>
      </w:r>
    </w:p>
    <w:p>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hint="eastAsia" w:ascii="仿宋" w:hAnsi="仿宋" w:eastAsia="仿宋" w:cs="仿宋"/>
          <w:color w:val="auto"/>
          <w:kern w:val="0"/>
          <w:lang w:val="en-US" w:bidi="zh-CN"/>
        </w:rPr>
        <w:t/>
      </w:r>
      <w:r>
        <w:rPr>
          <w:rFonts w:ascii="仿宋" w:hAnsi="仿宋" w:cs="仿宋" w:eastAsia="仿宋"/>
          <w:color w:val="auto"/>
        </w:rPr>
        <w:t>（1）正确贯彻执行党和国家的教育方针、政策、法规，为社会主义建设输送德才兼备的人才。</w:t>
      </w:r>
      <w:r>
        <w:rPr>
          <w:rFonts w:ascii="仿宋" w:hAnsi="仿宋" w:cs="仿宋" w:eastAsia="仿宋"/>
          <w:color w:val="auto"/>
        </w:rPr>
        <w:t/>
      </w:r>
    </w:p>
    <w:p>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hint="eastAsia" w:ascii="仿宋" w:hAnsi="仿宋" w:eastAsia="仿宋" w:cs="仿宋"/>
          <w:color w:val="auto"/>
          <w:kern w:val="0"/>
          <w:lang w:val="en-US" w:bidi="zh-CN"/>
        </w:rPr>
        <w:t/>
      </w:r>
      <w:r>
        <w:rPr>
          <w:rFonts w:ascii="仿宋" w:hAnsi="仿宋" w:cs="仿宋" w:eastAsia="仿宋"/>
          <w:color w:val="auto"/>
        </w:rPr>
        <w:t>（2）维护学校的教学秩序，为学生创造良好的学习环境。</w:t>
      </w:r>
      <w:r>
        <w:rPr>
          <w:rFonts w:ascii="仿宋" w:hAnsi="仿宋" w:cs="仿宋" w:eastAsia="仿宋"/>
          <w:color w:val="auto"/>
        </w:rPr>
        <w:t/>
      </w:r>
    </w:p>
    <w:p>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hint="eastAsia" w:ascii="仿宋" w:hAnsi="仿宋" w:eastAsia="仿宋" w:cs="仿宋"/>
          <w:color w:val="auto"/>
          <w:kern w:val="0"/>
          <w:lang w:val="en-US" w:bidi="zh-CN"/>
        </w:rPr>
        <w:t/>
      </w:r>
      <w:r>
        <w:rPr>
          <w:rFonts w:ascii="仿宋" w:hAnsi="仿宋" w:cs="仿宋" w:eastAsia="仿宋"/>
          <w:color w:val="auto"/>
        </w:rPr>
        <w:t>（3）积极稳妥地推进教育改革，按教育规律办事，不断提高教育质量。</w:t>
      </w:r>
      <w:r>
        <w:rPr>
          <w:rFonts w:ascii="仿宋" w:hAnsi="仿宋" w:cs="仿宋" w:eastAsia="仿宋"/>
          <w:color w:val="auto"/>
        </w:rPr>
        <w:t/>
      </w:r>
    </w:p>
    <w:p>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hint="eastAsia" w:ascii="仿宋" w:hAnsi="仿宋" w:eastAsia="仿宋" w:cs="仿宋"/>
          <w:color w:val="auto"/>
          <w:kern w:val="0"/>
          <w:lang w:val="en-US" w:bidi="zh-CN"/>
        </w:rPr>
        <w:t/>
      </w:r>
      <w:r>
        <w:rPr>
          <w:rFonts w:ascii="仿宋" w:hAnsi="仿宋" w:cs="仿宋" w:eastAsia="仿宋"/>
          <w:color w:val="auto"/>
        </w:rPr>
        <w:t>（4）根据学校规模，设置学校管理机构，建立健全各项规章制度和岗位责任制。</w:t>
      </w:r>
      <w:r>
        <w:rPr>
          <w:rFonts w:ascii="仿宋" w:hAnsi="仿宋" w:cs="仿宋" w:eastAsia="仿宋"/>
          <w:color w:val="auto"/>
        </w:rPr>
        <w:t/>
      </w:r>
    </w:p>
    <w:p>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hint="eastAsia" w:ascii="仿宋" w:hAnsi="仿宋" w:eastAsia="仿宋" w:cs="仿宋"/>
          <w:color w:val="auto"/>
          <w:kern w:val="0"/>
          <w:lang w:val="en-US" w:bidi="zh-CN"/>
        </w:rPr>
        <w:t/>
      </w:r>
      <w:r>
        <w:rPr>
          <w:rFonts w:ascii="仿宋" w:hAnsi="仿宋" w:cs="仿宋" w:eastAsia="仿宋"/>
          <w:color w:val="auto"/>
        </w:rPr>
        <w:t>（5）坚持教书育人，服务育人，环境育人方针，加强对学生的思想品德教育，使学生的德智体全面发展。</w:t>
      </w:r>
      <w:r>
        <w:rPr>
          <w:rFonts w:ascii="仿宋" w:hAnsi="仿宋" w:cs="仿宋" w:eastAsia="仿宋"/>
          <w:color w:val="auto"/>
        </w:rPr>
        <w:t/>
      </w:r>
    </w:p>
    <w:p>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hint="eastAsia" w:ascii="仿宋" w:hAnsi="仿宋" w:eastAsia="仿宋" w:cs="仿宋"/>
          <w:color w:val="auto"/>
          <w:kern w:val="0"/>
          <w:lang w:val="en-US" w:bidi="zh-CN"/>
        </w:rPr>
        <w:t/>
      </w:r>
      <w:r>
        <w:rPr>
          <w:rFonts w:ascii="仿宋" w:hAnsi="仿宋" w:cs="仿宋" w:eastAsia="仿宋"/>
          <w:color w:val="auto"/>
        </w:rPr>
        <w:t>（6）抓好教师队伍建设，使每个教师都热心于教育事业。</w:t>
      </w:r>
      <w:r>
        <w:rPr>
          <w:rFonts w:ascii="仿宋" w:hAnsi="仿宋" w:cs="仿宋" w:eastAsia="仿宋"/>
          <w:color w:val="auto"/>
        </w:rPr>
        <w:t/>
      </w:r>
    </w:p>
    <w:p>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bidi="zh-CN"/>
        </w:rPr>
      </w:pPr>
      <w:r>
        <w:rPr>
          <w:rFonts w:hint="eastAsia" w:ascii="仿宋" w:hAnsi="仿宋" w:eastAsia="仿宋" w:cs="仿宋"/>
          <w:color w:val="auto"/>
          <w:kern w:val="0"/>
          <w:lang w:val="en-US" w:bidi="zh-CN"/>
        </w:rPr>
        <w:t/>
      </w:r>
      <w:r>
        <w:rPr>
          <w:rFonts w:ascii="仿宋" w:hAnsi="仿宋" w:cs="仿宋" w:eastAsia="仿宋"/>
          <w:color w:val="auto"/>
        </w:rPr>
        <w:t>（7）做好安全防范，保证学生的人身安全。</w:t>
      </w:r>
      <w:r>
        <w:rPr>
          <w:rFonts w:ascii="仿宋" w:hAnsi="仿宋" w:cs="仿宋" w:eastAsia="仿宋"/>
          <w:color w:val="auto"/>
        </w:rPr>
        <w:t/>
      </w:r>
    </w:p>
    <w:p>
      <w:pPr>
        <w:jc w:val="left"/>
        <w:rPr>
          <w:rFonts w:hint="eastAsia" w:ascii="仿宋" w:hAnsi="仿宋" w:eastAsia="仿宋" w:cs="仿宋"/>
          <w:sz w:val="28"/>
          <w:szCs w:val="32"/>
        </w:rPr>
      </w:pPr>
    </w:p>
    <w:p>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b/>
          <w:bCs/>
          <w:color w:val="auto"/>
          <w:kern w:val="0"/>
          <w:lang w:val="zh-CN" w:bidi="zh-CN"/>
        </w:rPr>
      </w:pPr>
      <w:r>
        <w:rPr>
          <w:rFonts w:hint="eastAsia" w:ascii="仿宋" w:hAnsi="仿宋" w:eastAsia="仿宋" w:cs="仿宋"/>
          <w:b/>
          <w:bCs/>
          <w:color w:val="auto"/>
          <w:kern w:val="0"/>
          <w:lang w:val="zh-CN" w:bidi="zh-CN"/>
        </w:rPr>
        <w:t>二、机构设置及决算单位构成</w:t>
      </w:r>
    </w:p>
    <w:p>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eastAsia="zh-CN" w:bidi="zh-CN"/>
        </w:rPr>
      </w:pPr>
      <w:r>
        <w:rPr>
          <w:rFonts w:hint="eastAsia" w:ascii="仿宋" w:hAnsi="仿宋" w:eastAsia="仿宋" w:cs="仿宋"/>
          <w:color w:val="auto"/>
          <w:kern w:val="0"/>
          <w:lang w:val="en-US" w:eastAsia="zh-CN" w:bidi="zh-CN"/>
        </w:rPr>
        <w:t>（一）内设机构设置。</w:t>
      </w:r>
      <w:r>
        <w:rPr>
          <w:rFonts w:ascii="仿宋" w:hAnsi="仿宋" w:cs="仿宋" w:eastAsia="仿宋"/>
          <w:color w:val="auto"/>
        </w:rPr>
        <w:t/>
      </w:r>
      <w:r>
        <w:rPr>
          <w:rFonts w:ascii="仿宋" w:hAnsi="仿宋" w:cs="仿宋" w:eastAsia="仿宋"/>
          <w:color w:val="auto"/>
        </w:rPr>
        <w:t/>
      </w:r>
      <w:r>
        <w:rPr>
          <w:rFonts w:ascii="仿宋" w:hAnsi="仿宋" w:cs="仿宋" w:eastAsia="仿宋"/>
          <w:color w:val="auto"/>
        </w:rPr>
        <w:t>衡阳市实验小学内设机构包括：内设办公室、教务处、学生处、总务处、教研室等部门。</w:t>
      </w:r>
      <w:r>
        <w:rPr>
          <w:rFonts w:ascii="仿宋" w:hAnsi="仿宋" w:cs="仿宋" w:eastAsia="仿宋"/>
          <w:color w:val="auto"/>
        </w:rPr>
        <w:t/>
      </w:r>
      <w:r>
        <w:rPr>
          <w:rFonts w:ascii="仿宋" w:hAnsi="仿宋" w:cs="仿宋" w:eastAsia="仿宋"/>
          <w:color w:val="auto"/>
        </w:rPr>
        <w:t/>
      </w:r>
    </w:p>
    <w:p>
      <w:pPr>
        <w:pStyle w:val="3"/>
        <w:keepNext w:val="0"/>
        <w:keepLines w:val="0"/>
        <w:pageBreakBefore w:val="0"/>
        <w:widowControl w:val="0"/>
        <w:suppressAutoHyphens/>
        <w:kinsoku/>
        <w:wordWrap/>
        <w:overflowPunct/>
        <w:topLinePunct w:val="0"/>
        <w:autoSpaceDE/>
        <w:autoSpaceDN/>
        <w:bidi w:val="0"/>
        <w:adjustRightInd/>
        <w:snapToGrid/>
        <w:spacing w:before="0" w:after="0" w:line="360" w:lineRule="auto"/>
        <w:ind w:left="420" w:leftChars="200" w:right="481" w:rightChars="229" w:firstLine="658" w:firstLineChars="0"/>
        <w:jc w:val="both"/>
        <w:textAlignment w:val="auto"/>
        <w:rPr>
          <w:rFonts w:hint="eastAsia" w:ascii="仿宋" w:hAnsi="仿宋" w:eastAsia="仿宋" w:cs="仿宋"/>
          <w:color w:val="auto"/>
          <w:kern w:val="0"/>
          <w:lang w:val="en-US" w:eastAsia="zh-CN" w:bidi="zh-CN"/>
        </w:rPr>
      </w:pPr>
      <w:r>
        <w:rPr>
          <w:rFonts w:hint="eastAsia" w:ascii="仿宋" w:hAnsi="仿宋" w:eastAsia="仿宋" w:cs="仿宋"/>
          <w:color w:val="auto"/>
          <w:kern w:val="0"/>
          <w:lang w:val="en-US" w:eastAsia="zh-CN" w:bidi="zh-CN"/>
        </w:rPr>
        <w:t>（二）决算单位构成。</w:t>
      </w:r>
      <w:r>
        <w:rPr>
          <w:rFonts w:ascii="仿宋" w:hAnsi="仿宋" w:cs="仿宋" w:eastAsia="仿宋"/>
          <w:color w:val="auto"/>
        </w:rPr>
        <w:t>衡阳市实验小学</w:t>
      </w:r>
      <w:r>
        <w:rPr>
          <w:rFonts w:ascii="仿宋" w:hAnsi="仿宋" w:cs="仿宋" w:eastAsia="仿宋"/>
          <w:color w:val="auto"/>
        </w:rPr>
        <w:t>2020年部门决算汇总公开单位构成包括：</w:t>
      </w:r>
      <w:r>
        <w:rPr>
          <w:rFonts w:ascii="仿宋" w:hAnsi="仿宋" w:cs="仿宋" w:eastAsia="仿宋"/>
          <w:color w:val="auto"/>
        </w:rPr>
        <w:t/>
      </w:r>
      <w:r>
        <w:rPr>
          <w:rFonts w:ascii="仿宋" w:hAnsi="仿宋" w:cs="仿宋" w:eastAsia="仿宋"/>
          <w:color w:val="auto"/>
        </w:rPr>
        <w:t/>
      </w:r>
      <w:r>
        <w:rPr>
          <w:rFonts w:ascii="仿宋" w:hAnsi="仿宋" w:cs="仿宋" w:eastAsia="仿宋"/>
          <w:color w:val="auto"/>
        </w:rPr>
        <w:t>衡阳市实验小学属衡阳市教育局二级事业单位，决算由衡阳市教育局汇总。</w:t>
      </w:r>
      <w:r>
        <w:rPr>
          <w:rFonts w:ascii="仿宋" w:hAnsi="仿宋" w:cs="仿宋" w:eastAsia="仿宋"/>
          <w:color w:val="auto"/>
        </w:rPr>
        <w:t/>
      </w:r>
      <w:r>
        <w:rPr>
          <w:rFonts w:ascii="仿宋" w:hAnsi="仿宋" w:cs="仿宋" w:eastAsia="仿宋"/>
          <w:color w:val="auto"/>
        </w:rPr>
        <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481" w:rightChars="229" w:firstLine="640" w:firstLineChars="200"/>
        <w:jc w:val="both"/>
        <w:textAlignment w:val="auto"/>
        <w:rPr>
          <w:rFonts w:hint="eastAsia" w:ascii="仿宋" w:hAnsi="仿宋" w:eastAsia="仿宋" w:cs="仿宋"/>
        </w:rPr>
      </w:pPr>
    </w:p>
    <w:p>
      <w:pPr>
        <w:widowControl/>
        <w:spacing w:line="600" w:lineRule="exact"/>
        <w:ind w:left="0" w:leftChars="0" w:firstLine="838" w:firstLineChars="262"/>
        <w:rPr>
          <w:rFonts w:hint="eastAsia" w:ascii="仿宋" w:hAnsi="仿宋" w:eastAsia="仿宋" w:cs="仿宋"/>
          <w:bCs/>
          <w:kern w:val="0"/>
          <w:sz w:val="32"/>
          <w:szCs w:val="32"/>
        </w:rPr>
        <w:sectPr>
          <w:pgSz w:w="11906" w:h="16838"/>
          <w:pgMar w:top="720" w:right="720" w:bottom="720" w:left="720" w:header="851" w:footer="992" w:gutter="0"/>
          <w:pgNumType w:fmt="numberInDash"/>
          <w:cols w:space="425" w:num="1"/>
          <w:docGrid w:type="lines" w:linePitch="312" w:charSpace="0"/>
        </w:sect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hint="eastAsia" w:ascii="仿宋" w:hAnsi="仿宋" w:eastAsia="仿宋" w:cs="仿宋"/>
          <w:b/>
          <w:bCs/>
          <w:sz w:val="52"/>
          <w:szCs w:val="52"/>
        </w:rPr>
      </w:pPr>
      <w:r>
        <w:rPr>
          <w:rFonts w:hint="eastAsia" w:ascii="仿宋" w:hAnsi="仿宋" w:eastAsia="仿宋" w:cs="仿宋"/>
          <w:b/>
          <w:bCs/>
          <w:sz w:val="52"/>
          <w:szCs w:val="52"/>
        </w:rPr>
        <w:t>第二部分</w:t>
      </w:r>
    </w:p>
    <w:p>
      <w:pPr>
        <w:jc w:val="center"/>
        <w:rPr>
          <w:rFonts w:hint="eastAsia" w:ascii="仿宋" w:hAnsi="仿宋" w:eastAsia="仿宋" w:cs="仿宋"/>
          <w:b/>
          <w:bCs/>
          <w:sz w:val="52"/>
          <w:szCs w:val="52"/>
        </w:rPr>
      </w:pPr>
    </w:p>
    <w:p>
      <w:pPr>
        <w:jc w:val="center"/>
        <w:rPr>
          <w:sz w:val="72"/>
          <w:szCs w:val="72"/>
        </w:rPr>
      </w:pPr>
      <w:r>
        <w:rPr>
          <w:rFonts w:hint="eastAsia" w:ascii="仿宋" w:hAnsi="仿宋" w:eastAsia="仿宋" w:cs="仿宋"/>
          <w:b/>
          <w:bCs/>
          <w:sz w:val="52"/>
          <w:szCs w:val="52"/>
        </w:rPr>
        <w:t>部门</w:t>
      </w:r>
      <w:r>
        <w:rPr>
          <w:rFonts w:ascii="仿宋" w:hAnsi="仿宋" w:cs="仿宋" w:eastAsia="仿宋"/>
          <w:b w:val="true"/>
          <w:sz w:val="52"/>
        </w:rPr>
        <w:t>决算表</w:t>
      </w:r>
    </w:p>
    <w:p>
      <w:pPr>
        <w:jc w:val="center"/>
        <w:rPr>
          <w:sz w:val="72"/>
          <w:szCs w:val="72"/>
        </w:rPr>
        <w:sectPr>
          <w:pgSz w:w="11906" w:h="16838"/>
          <w:pgMar w:top="1440" w:right="1800" w:bottom="1440" w:left="1800" w:header="851" w:footer="992" w:gutter="0"/>
          <w:pgNumType w:fmt="numberInDash"/>
          <w:cols w:space="425" w:num="1"/>
          <w:docGrid w:type="lines" w:linePitch="312" w:charSpace="0"/>
        </w:sectPr>
      </w:pPr>
    </w:p>
    <w:tbl>
      <w:tblPr>
        <w:tblStyle w:val="6"/>
        <w:tblW w:w="13995" w:type="dxa"/>
        <w:tblInd w:w="91" w:type="dxa"/>
        <w:tblLayout w:type="fixed"/>
        <w:tblCellMar>
          <w:top w:w="0" w:type="dxa"/>
          <w:left w:w="108" w:type="dxa"/>
          <w:bottom w:w="0" w:type="dxa"/>
          <w:right w:w="108" w:type="dxa"/>
        </w:tblCellMar>
      </w:tblPr>
      <w:tblGrid>
        <w:gridCol w:w="4535"/>
        <w:gridCol w:w="800"/>
        <w:gridCol w:w="1980"/>
        <w:gridCol w:w="3960"/>
        <w:gridCol w:w="800"/>
        <w:gridCol w:w="1920"/>
      </w:tblGrid>
      <w:tr>
        <w:tblPrEx>
          <w:tblCellMar>
            <w:top w:w="0" w:type="dxa"/>
            <w:left w:w="108" w:type="dxa"/>
            <w:bottom w:w="0" w:type="dxa"/>
            <w:right w:w="108" w:type="dxa"/>
          </w:tblCellMar>
        </w:tblPrEx>
        <w:trPr>
          <w:cantSplit/>
          <w:trHeight w:val="360" w:hRule="atLeast"/>
        </w:trPr>
        <w:tc>
          <w:tcPr>
            <w:tcW w:w="13995" w:type="dxa"/>
            <w:gridSpan w:val="6"/>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 w:lineRule="atLeast"/>
              <w:jc w:val="center"/>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收入支出决算总表</w:t>
            </w:r>
          </w:p>
        </w:tc>
      </w:tr>
      <w:tr>
        <w:tblPrEx>
          <w:tblCellMar>
            <w:top w:w="0" w:type="dxa"/>
            <w:left w:w="108" w:type="dxa"/>
            <w:bottom w:w="0" w:type="dxa"/>
            <w:right w:w="108" w:type="dxa"/>
          </w:tblCellMar>
        </w:tblPrEx>
        <w:trPr>
          <w:cantSplit/>
          <w:trHeight w:val="90" w:hRule="atLeast"/>
        </w:trPr>
        <w:tc>
          <w:tcPr>
            <w:tcW w:w="13995" w:type="dxa"/>
            <w:gridSpan w:val="6"/>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公开01表</w:t>
            </w:r>
          </w:p>
        </w:tc>
      </w:tr>
      <w:tr>
        <w:tblPrEx>
          <w:tblCellMar>
            <w:top w:w="0" w:type="dxa"/>
            <w:left w:w="108" w:type="dxa"/>
            <w:bottom w:w="0" w:type="dxa"/>
            <w:right w:w="108" w:type="dxa"/>
          </w:tblCellMar>
        </w:tblPrEx>
        <w:trPr>
          <w:cantSplit/>
          <w:trHeight w:val="90" w:hRule="atLeast"/>
        </w:trPr>
        <w:tc>
          <w:tcPr>
            <w:tcW w:w="5335" w:type="dxa"/>
            <w:gridSpan w:val="2"/>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w:t>
            </w:r>
            <w:r>
              <w:rPr>
                <w:rFonts w:ascii="仿宋" w:hAnsi="仿宋" w:cs="仿宋" w:eastAsia="仿宋"/>
                <w:color w:val="000000"/>
                <w:sz w:val="20"/>
              </w:rPr>
              <w:t>衡阳市实验小学</w:t>
            </w:r>
          </w:p>
        </w:tc>
        <w:tc>
          <w:tcPr>
            <w:tcW w:w="8660" w:type="dxa"/>
            <w:gridSpan w:val="4"/>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单位：万元</w:t>
            </w:r>
          </w:p>
        </w:tc>
      </w:tr>
      <w:tr>
        <w:tblPrEx>
          <w:tblCellMar>
            <w:top w:w="0" w:type="dxa"/>
            <w:left w:w="108" w:type="dxa"/>
            <w:bottom w:w="0" w:type="dxa"/>
            <w:right w:w="108" w:type="dxa"/>
          </w:tblCellMar>
        </w:tblPrEx>
        <w:trPr>
          <w:cantSplit/>
          <w:trHeight w:val="90" w:hRule="atLeast"/>
        </w:trPr>
        <w:tc>
          <w:tcPr>
            <w:tcW w:w="7315"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收入</w:t>
            </w:r>
          </w:p>
        </w:tc>
        <w:tc>
          <w:tcPr>
            <w:tcW w:w="66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支出</w:t>
            </w:r>
          </w:p>
        </w:tc>
      </w:tr>
      <w:tr>
        <w:tblPrEx>
          <w:tblCellMar>
            <w:top w:w="0" w:type="dxa"/>
            <w:left w:w="108" w:type="dxa"/>
            <w:bottom w:w="0" w:type="dxa"/>
            <w:right w:w="108" w:type="dxa"/>
          </w:tblCellMar>
        </w:tblPrEx>
        <w:trPr>
          <w:cantSplit/>
          <w:trHeight w:val="337" w:hRule="atLeast"/>
        </w:trPr>
        <w:tc>
          <w:tcPr>
            <w:tcW w:w="45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项    目</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行次</w:t>
            </w:r>
          </w:p>
        </w:tc>
        <w:tc>
          <w:tcPr>
            <w:tcW w:w="19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决算数</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项    目</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行次</w:t>
            </w:r>
          </w:p>
        </w:tc>
        <w:tc>
          <w:tcPr>
            <w:tcW w:w="1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决算数</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
            </w:r>
            <w:r>
              <w:rPr>
                <w:rFonts w:ascii="仿宋" w:hAnsi="仿宋" w:cs="仿宋" w:eastAsia="仿宋"/>
                <w:sz w:val="24"/>
              </w:rPr>
              <w:t>栏    次</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p>
        </w:tc>
        <w:tc>
          <w:tcPr>
            <w:tcW w:w="19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1</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栏    次</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4"/>
                <w:szCs w:val="24"/>
              </w:rPr>
            </w:pPr>
          </w:p>
        </w:tc>
        <w:tc>
          <w:tcPr>
            <w:tcW w:w="19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2</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一、一般公共预算财政拨款收入</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2806.99</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一、一般公共服务支出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32</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二、政府性基金预算财政拨款收入</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0.0</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二、外交支出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33</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三、国有资本经营预算财政拨款收入</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0.0</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三、国防支出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34</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四、上级补助收入</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0.0</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四、公共安全支出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35</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五、事业收入</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0.0</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五、教育支出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36</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2,183.72</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六、经营收入</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6</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0.0</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六、科学技术支出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37</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七、附属单位上缴收入</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7</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0.0</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七、文化旅游体育与传媒支出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38</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八、其他收入</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8</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0.0</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八、社会保障和就业支出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39</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9</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九、卫生健康支出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40</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10</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十、节能环保支出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41</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11</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十一、城乡社区支出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42</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12</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十二、农林水支出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43</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13</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十三、交通运输支出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44</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14</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十四、资源勘探工业信息等支出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45</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15</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十五、商业服务业等支出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46</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16</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十六、金融支出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47</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17</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十七、援助其他地区支出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48</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18</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十八、自然资源海洋气象等支出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49</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19</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十九、住房保障支出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50</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20</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二十、粮油物资储备支出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51</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21</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二十一、国有资本经营预算支出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52</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22</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二十二、灾害防治及应急管理支出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53</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23</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二十三、其他支出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54</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24</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二十四、债务还本支出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55</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25</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二十五、债务付息支出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56</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26</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二十六、抗疫特别国债安排的支出</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57</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b/>
                <w:bCs/>
                <w:kern w:val="0"/>
                <w:sz w:val="22"/>
              </w:rPr>
            </w:pPr>
            <w:r>
              <w:rPr>
                <w:rFonts w:hint="eastAsia" w:ascii="仿宋" w:hAnsi="仿宋" w:eastAsia="仿宋" w:cs="仿宋"/>
                <w:b/>
                <w:bCs/>
                <w:kern w:val="0"/>
                <w:sz w:val="22"/>
              </w:rPr>
              <w:t/>
            </w:r>
            <w:r>
              <w:rPr>
                <w:rFonts w:ascii="仿宋" w:hAnsi="仿宋" w:cs="仿宋" w:eastAsia="仿宋"/>
                <w:b w:val="true"/>
                <w:sz w:val="22"/>
              </w:rPr>
              <w:t>本年收入合计</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i w:val="0"/>
                <w:color w:val="000000"/>
                <w:kern w:val="0"/>
                <w:sz w:val="22"/>
                <w:szCs w:val="22"/>
                <w:u w:val="none"/>
                <w:lang w:val="en-US" w:eastAsia="zh-CN" w:bidi="ar"/>
              </w:rPr>
              <w:t>27</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lang w:val="en-US" w:eastAsia="zh-CN"/>
              </w:rPr>
            </w:pPr>
            <w:r>
              <w:rPr>
                <w:rFonts w:hint="eastAsia" w:ascii="仿宋" w:hAnsi="仿宋" w:eastAsia="仿宋" w:cs="仿宋"/>
              </w:rPr>
              <w:t>2,806.99</w:t>
            </w:r>
          </w:p>
        </w:tc>
        <w:tc>
          <w:tcPr>
            <w:tcW w:w="3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b/>
                <w:bCs/>
                <w:kern w:val="0"/>
                <w:sz w:val="22"/>
              </w:rPr>
            </w:pPr>
            <w:r>
              <w:rPr>
                <w:rFonts w:hint="eastAsia" w:ascii="仿宋" w:hAnsi="仿宋" w:eastAsia="仿宋" w:cs="仿宋"/>
                <w:b/>
                <w:bCs/>
                <w:kern w:val="0"/>
                <w:sz w:val="22"/>
              </w:rPr>
              <w:t>本年支出合计</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i w:val="0"/>
                <w:color w:val="000000"/>
                <w:kern w:val="0"/>
                <w:sz w:val="22"/>
                <w:szCs w:val="22"/>
                <w:u w:val="none"/>
                <w:lang w:val="en-US" w:eastAsia="zh-CN" w:bidi="ar"/>
              </w:rPr>
              <w:t>58</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2,183.72</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使用非财政拨款结余</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28</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0.0</w:t>
            </w:r>
          </w:p>
        </w:tc>
        <w:tc>
          <w:tcPr>
            <w:tcW w:w="3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结余分配</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59</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0.0</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年初结转和结余</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29</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0.27</w:t>
            </w:r>
          </w:p>
        </w:tc>
        <w:tc>
          <w:tcPr>
            <w:tcW w:w="3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年末结转和结余</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60</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623.54</w:t>
            </w:r>
          </w:p>
        </w:tc>
      </w:tr>
      <w:tr>
        <w:tblPrEx>
          <w:tblCellMar>
            <w:top w:w="0" w:type="dxa"/>
            <w:left w:w="108" w:type="dxa"/>
            <w:bottom w:w="0" w:type="dxa"/>
            <w:right w:w="108" w:type="dxa"/>
          </w:tblCellMar>
        </w:tblPrEx>
        <w:trPr>
          <w:cantSplit/>
          <w:trHeight w:val="90" w:hRule="atLeast"/>
        </w:trPr>
        <w:tc>
          <w:tcPr>
            <w:tcW w:w="45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p>
        </w:tc>
        <w:tc>
          <w:tcPr>
            <w:tcW w:w="39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left"/>
              <w:textAlignment w:val="auto"/>
              <w:rPr>
                <w:rFonts w:hint="eastAsia" w:ascii="仿宋" w:hAnsi="仿宋" w:eastAsia="仿宋" w:cs="仿宋"/>
                <w:kern w:val="0"/>
                <w:sz w:val="22"/>
              </w:rPr>
            </w:pPr>
          </w:p>
        </w:tc>
      </w:tr>
      <w:tr>
        <w:tblPrEx>
          <w:tblCellMar>
            <w:top w:w="0" w:type="dxa"/>
            <w:left w:w="108" w:type="dxa"/>
            <w:bottom w:w="0" w:type="dxa"/>
            <w:right w:w="108" w:type="dxa"/>
          </w:tblCellMar>
        </w:tblPrEx>
        <w:trPr>
          <w:trHeight w:val="90" w:hRule="atLeast"/>
        </w:trPr>
        <w:tc>
          <w:tcPr>
            <w:tcW w:w="4535"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b/>
                <w:bCs/>
                <w:kern w:val="0"/>
                <w:sz w:val="22"/>
              </w:rPr>
            </w:pPr>
            <w:r>
              <w:rPr>
                <w:rFonts w:hint="eastAsia" w:ascii="仿宋" w:hAnsi="仿宋" w:eastAsia="仿宋" w:cs="仿宋"/>
                <w:b/>
                <w:bCs/>
                <w:kern w:val="0"/>
                <w:sz w:val="22"/>
              </w:rPr>
              <w:t>总计</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i w:val="0"/>
                <w:color w:val="000000"/>
                <w:kern w:val="0"/>
                <w:sz w:val="22"/>
                <w:szCs w:val="22"/>
                <w:u w:val="none"/>
                <w:lang w:val="en-US" w:eastAsia="zh-CN" w:bidi="ar"/>
              </w:rPr>
              <w:t>30</w:t>
            </w:r>
          </w:p>
        </w:tc>
        <w:tc>
          <w:tcPr>
            <w:tcW w:w="19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2,807.26</w:t>
            </w:r>
          </w:p>
        </w:tc>
        <w:tc>
          <w:tcPr>
            <w:tcW w:w="39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b/>
                <w:bCs/>
                <w:kern w:val="0"/>
                <w:sz w:val="22"/>
              </w:rPr>
            </w:pPr>
            <w:r>
              <w:rPr>
                <w:rFonts w:hint="eastAsia" w:ascii="仿宋" w:hAnsi="仿宋" w:eastAsia="仿宋" w:cs="仿宋"/>
                <w:b/>
                <w:bCs/>
                <w:kern w:val="0"/>
                <w:sz w:val="22"/>
              </w:rPr>
              <w:t>总计</w:t>
            </w:r>
          </w:p>
        </w:tc>
        <w:tc>
          <w:tcPr>
            <w:tcW w:w="8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suppressLineNumbers w:val="0"/>
              <w:kinsoku/>
              <w:wordWrap/>
              <w:overflowPunct/>
              <w:topLinePunct w:val="0"/>
              <w:autoSpaceDE/>
              <w:autoSpaceDN/>
              <w:bidi w:val="0"/>
              <w:adjustRightInd/>
              <w:snapToGrid w:val="0"/>
              <w:spacing w:after="34" w:line="34" w:lineRule="atLeast"/>
              <w:jc w:val="center"/>
              <w:textAlignment w:val="auto"/>
              <w:rPr>
                <w:rFonts w:hint="eastAsia" w:ascii="仿宋" w:hAnsi="仿宋" w:eastAsia="仿宋" w:cs="仿宋"/>
                <w:kern w:val="0"/>
                <w:sz w:val="22"/>
              </w:rPr>
            </w:pPr>
            <w:r>
              <w:rPr>
                <w:rFonts w:hint="eastAsia" w:ascii="仿宋" w:hAnsi="仿宋" w:eastAsia="仿宋" w:cs="仿宋"/>
                <w:i w:val="0"/>
                <w:color w:val="000000"/>
                <w:kern w:val="0"/>
                <w:sz w:val="22"/>
                <w:szCs w:val="22"/>
                <w:u w:val="none"/>
                <w:lang w:val="en-US" w:eastAsia="zh-CN" w:bidi="ar"/>
              </w:rPr>
              <w:t>61</w:t>
            </w:r>
          </w:p>
        </w:tc>
        <w:tc>
          <w:tcPr>
            <w:tcW w:w="1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val="0"/>
              <w:spacing w:after="34" w:line="34" w:lineRule="atLeast"/>
              <w:jc w:val="right"/>
              <w:textAlignment w:val="auto"/>
              <w:rPr>
                <w:rFonts w:hint="eastAsia" w:ascii="仿宋" w:hAnsi="仿宋" w:eastAsia="仿宋" w:cs="仿宋"/>
                <w:b/>
                <w:bCs/>
                <w:kern w:val="0"/>
                <w:sz w:val="22"/>
              </w:rPr>
            </w:pPr>
            <w:r>
              <w:rPr>
                <w:rFonts w:hint="eastAsia" w:ascii="仿宋" w:hAnsi="仿宋" w:eastAsia="仿宋" w:cs="仿宋"/>
              </w:rPr>
              <w:t>2,807.26</w:t>
            </w:r>
          </w:p>
        </w:tc>
      </w:tr>
      <w:tr>
        <w:tblPrEx>
          <w:tblCellMar>
            <w:top w:w="0" w:type="dxa"/>
            <w:left w:w="108" w:type="dxa"/>
            <w:bottom w:w="0" w:type="dxa"/>
            <w:right w:w="108" w:type="dxa"/>
          </w:tblCellMar>
        </w:tblPrEx>
        <w:trPr>
          <w:cantSplit/>
          <w:trHeight w:val="90" w:hRule="atLeast"/>
        </w:trPr>
        <w:tc>
          <w:tcPr>
            <w:tcW w:w="13995" w:type="dxa"/>
            <w:gridSpan w:val="6"/>
            <w:tcBorders>
              <w:top w:val="single" w:color="auto"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注：1.本表反映部门本年度的总收支和年末结转结余情况。</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803" w:right="1440" w:bottom="1803" w:left="1440" w:header="851" w:footer="992" w:gutter="0"/>
          <w:pgNumType w:fmt="numberInDash"/>
          <w:cols w:space="0" w:num="1"/>
          <w:rtlGutter w:val="0"/>
          <w:docGrid w:type="lines" w:linePitch="319" w:charSpace="0"/>
        </w:sectPr>
      </w:pPr>
    </w:p>
    <w:tbl>
      <w:tblPr>
        <w:tblStyle w:val="6"/>
        <w:tblW w:w="13988" w:type="dxa"/>
        <w:tblInd w:w="0" w:type="dxa"/>
        <w:tblLayout w:type="fixed"/>
        <w:tblCellMar>
          <w:top w:w="0" w:type="dxa"/>
          <w:left w:w="0" w:type="dxa"/>
          <w:bottom w:w="0" w:type="dxa"/>
          <w:right w:w="0" w:type="dxa"/>
        </w:tblCellMar>
      </w:tblPr>
      <w:tblGrid>
        <w:gridCol w:w="1337"/>
        <w:gridCol w:w="2863"/>
        <w:gridCol w:w="1663"/>
        <w:gridCol w:w="1474"/>
        <w:gridCol w:w="1491"/>
        <w:gridCol w:w="1457"/>
        <w:gridCol w:w="1230"/>
        <w:gridCol w:w="1320"/>
        <w:gridCol w:w="1153"/>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 w:lineRule="atLeast"/>
              <w:jc w:val="center"/>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rPr>
              <w:t>收入决算表</w:t>
            </w:r>
          </w:p>
        </w:tc>
      </w:tr>
      <w:tr>
        <w:tblPrEx>
          <w:tblCellMar>
            <w:top w:w="0" w:type="dxa"/>
            <w:left w:w="0" w:type="dxa"/>
            <w:bottom w:w="0" w:type="dxa"/>
            <w:right w:w="0" w:type="dxa"/>
          </w:tblCellMar>
        </w:tblPrEx>
        <w:trPr>
          <w:trHeight w:val="111" w:hRule="atLeast"/>
        </w:trPr>
        <w:tc>
          <w:tcPr>
            <w:tcW w:w="12835" w:type="dxa"/>
            <w:gridSpan w:val="8"/>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both"/>
              <w:textAlignment w:val="auto"/>
              <w:rPr>
                <w:rFonts w:hint="eastAsia" w:ascii="仿宋" w:hAnsi="仿宋" w:eastAsia="仿宋" w:cs="仿宋"/>
                <w:sz w:val="24"/>
                <w:szCs w:val="24"/>
              </w:rPr>
            </w:pPr>
          </w:p>
        </w:tc>
        <w:tc>
          <w:tcPr>
            <w:tcW w:w="1153" w:type="dxa"/>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公开02表</w:t>
            </w:r>
          </w:p>
        </w:tc>
      </w:tr>
      <w:tr>
        <w:tblPrEx>
          <w:tblCellMar>
            <w:top w:w="0" w:type="dxa"/>
            <w:left w:w="0" w:type="dxa"/>
            <w:bottom w:w="0" w:type="dxa"/>
            <w:right w:w="0" w:type="dxa"/>
          </w:tblCellMar>
        </w:tblPrEx>
        <w:trPr>
          <w:trHeight w:val="90" w:hRule="atLeast"/>
        </w:trPr>
        <w:tc>
          <w:tcPr>
            <w:tcW w:w="12835" w:type="dxa"/>
            <w:gridSpan w:val="8"/>
            <w:tcBorders>
              <w:top w:val="nil"/>
              <w:left w:val="nil"/>
              <w:bottom w:val="single" w:color="auto" w:sz="4" w:space="0"/>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4"/>
                <w:szCs w:val="24"/>
              </w:rPr>
            </w:pPr>
            <w:r>
              <w:rPr>
                <w:rFonts w:hint="eastAsia" w:ascii="仿宋" w:hAnsi="仿宋" w:eastAsia="仿宋" w:cs="仿宋"/>
                <w:color w:val="000000"/>
                <w:sz w:val="20"/>
                <w:szCs w:val="20"/>
                <w:lang w:eastAsia="zh-CN"/>
              </w:rPr>
              <w:t>部门</w:t>
            </w:r>
            <w:r>
              <w:rPr>
                <w:rFonts w:hint="eastAsia" w:ascii="仿宋" w:hAnsi="仿宋" w:eastAsia="仿宋" w:cs="仿宋"/>
                <w:color w:val="000000"/>
                <w:sz w:val="20"/>
                <w:szCs w:val="20"/>
              </w:rPr>
              <w:t>：</w:t>
            </w:r>
            <w:r>
              <w:rPr>
                <w:rFonts w:ascii="仿宋" w:hAnsi="仿宋" w:cs="仿宋" w:eastAsia="仿宋"/>
                <w:color w:val="000000"/>
                <w:sz w:val="20"/>
              </w:rPr>
              <w:t>衡阳市实验小学</w:t>
            </w:r>
          </w:p>
        </w:tc>
        <w:tc>
          <w:tcPr>
            <w:tcW w:w="1153" w:type="dxa"/>
            <w:tcBorders>
              <w:top w:val="nil"/>
              <w:left w:val="nil"/>
              <w:bottom w:val="single" w:color="auto" w:sz="4" w:space="0"/>
              <w:right w:val="nil"/>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sz w:val="20"/>
                <w:szCs w:val="20"/>
              </w:rPr>
            </w:pPr>
            <w:r>
              <w:rPr>
                <w:rFonts w:hint="eastAsia" w:ascii="仿宋" w:hAnsi="仿宋" w:eastAsia="仿宋" w:cs="仿宋"/>
                <w:color w:val="000000"/>
                <w:sz w:val="20"/>
                <w:szCs w:val="20"/>
              </w:rPr>
              <w:t>单位：万元</w:t>
            </w:r>
          </w:p>
        </w:tc>
      </w:tr>
      <w:tr>
        <w:tblPrEx>
          <w:tblCellMar>
            <w:top w:w="0" w:type="dxa"/>
            <w:left w:w="0" w:type="dxa"/>
            <w:bottom w:w="0" w:type="dxa"/>
            <w:right w:w="0" w:type="dxa"/>
          </w:tblCellMar>
        </w:tblPrEx>
        <w:trPr>
          <w:trHeight w:val="450" w:hRule="atLeast"/>
        </w:trPr>
        <w:tc>
          <w:tcPr>
            <w:tcW w:w="4200"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项    目</w:t>
            </w:r>
          </w:p>
        </w:tc>
        <w:tc>
          <w:tcPr>
            <w:tcW w:w="16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本年收入合计</w:t>
            </w:r>
          </w:p>
        </w:tc>
        <w:tc>
          <w:tcPr>
            <w:tcW w:w="14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财政拨款收入</w:t>
            </w:r>
          </w:p>
        </w:tc>
        <w:tc>
          <w:tcPr>
            <w:tcW w:w="149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上级补助收入</w:t>
            </w:r>
          </w:p>
        </w:tc>
        <w:tc>
          <w:tcPr>
            <w:tcW w:w="145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事业收入</w:t>
            </w:r>
          </w:p>
        </w:tc>
        <w:tc>
          <w:tcPr>
            <w:tcW w:w="123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经营收入</w:t>
            </w:r>
          </w:p>
        </w:tc>
        <w:tc>
          <w:tcPr>
            <w:tcW w:w="13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rPr>
              <w:t>附属单位</w:t>
            </w:r>
          </w:p>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上缴收入</w:t>
            </w:r>
          </w:p>
        </w:tc>
        <w:tc>
          <w:tcPr>
            <w:tcW w:w="115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其他收入</w:t>
            </w:r>
          </w:p>
        </w:tc>
      </w:tr>
      <w:tr>
        <w:tblPrEx>
          <w:tblCellMar>
            <w:top w:w="0" w:type="dxa"/>
            <w:left w:w="0" w:type="dxa"/>
            <w:bottom w:w="0" w:type="dxa"/>
            <w:right w:w="0" w:type="dxa"/>
          </w:tblCellMar>
        </w:tblPrEx>
        <w:trPr>
          <w:trHeight w:val="450" w:hRule="atLeast"/>
        </w:trPr>
        <w:tc>
          <w:tcPr>
            <w:tcW w:w="133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rPr>
              <w:t>功能分类</w:t>
            </w:r>
          </w:p>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科目编码</w:t>
            </w:r>
          </w:p>
        </w:tc>
        <w:tc>
          <w:tcPr>
            <w:tcW w:w="28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科目名称</w:t>
            </w:r>
          </w:p>
        </w:tc>
        <w:tc>
          <w:tcPr>
            <w:tcW w:w="16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4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4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15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312" w:hRule="atLeast"/>
        </w:trPr>
        <w:tc>
          <w:tcPr>
            <w:tcW w:w="133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28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6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4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4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45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c>
          <w:tcPr>
            <w:tcW w:w="115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p>
        </w:tc>
      </w:tr>
      <w:tr>
        <w:tblPrEx>
          <w:tblCellMar>
            <w:top w:w="0" w:type="dxa"/>
            <w:left w:w="0" w:type="dxa"/>
            <w:bottom w:w="0" w:type="dxa"/>
            <w:right w:w="0" w:type="dxa"/>
          </w:tblCellMar>
        </w:tblPrEx>
        <w:trPr>
          <w:trHeight w:val="90" w:hRule="atLeast"/>
        </w:trPr>
        <w:tc>
          <w:tcPr>
            <w:tcW w:w="42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栏次</w:t>
            </w:r>
          </w:p>
        </w:tc>
        <w:tc>
          <w:tcPr>
            <w:tcW w:w="16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1</w:t>
            </w:r>
          </w:p>
        </w:tc>
        <w:tc>
          <w:tcPr>
            <w:tcW w:w="147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2</w:t>
            </w:r>
          </w:p>
        </w:tc>
        <w:tc>
          <w:tcPr>
            <w:tcW w:w="149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3</w:t>
            </w:r>
          </w:p>
        </w:tc>
        <w:tc>
          <w:tcPr>
            <w:tcW w:w="145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4</w:t>
            </w:r>
          </w:p>
        </w:tc>
        <w:tc>
          <w:tcPr>
            <w:tcW w:w="123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5</w:t>
            </w:r>
          </w:p>
        </w:tc>
        <w:tc>
          <w:tcPr>
            <w:tcW w:w="132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6</w:t>
            </w:r>
          </w:p>
        </w:tc>
        <w:tc>
          <w:tcPr>
            <w:tcW w:w="115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7</w:t>
            </w:r>
          </w:p>
        </w:tc>
      </w:tr>
      <w:tr>
        <w:tblPrEx>
          <w:tblCellMar>
            <w:top w:w="0" w:type="dxa"/>
            <w:left w:w="0" w:type="dxa"/>
            <w:bottom w:w="0" w:type="dxa"/>
            <w:right w:w="0" w:type="dxa"/>
          </w:tblCellMar>
        </w:tblPrEx>
        <w:trPr>
          <w:trHeight w:val="245" w:hRule="atLeast"/>
        </w:trPr>
        <w:tc>
          <w:tcPr>
            <w:tcW w:w="420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4"/>
                <w:szCs w:val="24"/>
              </w:rPr>
            </w:pPr>
            <w:r>
              <w:rPr>
                <w:rFonts w:hint="eastAsia" w:ascii="仿宋" w:hAnsi="仿宋" w:eastAsia="仿宋" w:cs="仿宋"/>
              </w:rPr>
              <w:t/>
            </w:r>
            <w:r>
              <w:rPr>
                <w:rFonts w:ascii="仿宋" w:hAnsi="仿宋" w:cs="仿宋" w:eastAsia="仿宋"/>
              </w:rPr>
              <w:t>合计</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2,806.99</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2,806.99</w:t>
            </w: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lang w:val="en-US" w:eastAsia="zh-CN"/>
              </w:rPr>
            </w:pPr>
            <w:r>
              <w:rPr>
                <w:rFonts w:hint="eastAsia" w:ascii="仿宋" w:hAnsi="仿宋" w:eastAsia="仿宋" w:cs="仿宋"/>
              </w:rPr>
              <w:t/>
            </w: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205</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教育支出</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2,806.99</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2,806.99</w:t>
            </w: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 xml:space="preserve">  20502</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普通教育</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2,210.39</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2,210.39</w:t>
            </w: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 xml:space="preserve">    2050202</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小学教育</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2,066.19</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2,066.19</w:t>
            </w: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 xml:space="preserve">    2050299</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其他普通教育支出</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144.20</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144.20</w:t>
            </w: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 xml:space="preserve">  20509</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教育费附加安排的支出</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586.60</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586.60</w:t>
            </w: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 xml:space="preserve">    2050999</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其他教育费附加安排的支出</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586.60</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586.60</w:t>
            </w: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 xml:space="preserve">  20599</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其他教育支出</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10.00</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10.00</w:t>
            </w: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r>
      <w:tr>
        <w:tblPrEx>
          <w:tblCellMar>
            <w:top w:w="0" w:type="dxa"/>
            <w:left w:w="0" w:type="dxa"/>
            <w:bottom w:w="0" w:type="dxa"/>
            <w:right w:w="0" w:type="dxa"/>
          </w:tblCellMar>
        </w:tblPrEx>
        <w:trPr>
          <w:trHeight w:val="147" w:hRule="atLeast"/>
        </w:trPr>
        <w:tc>
          <w:tcPr>
            <w:tcW w:w="133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 xml:space="preserve">    2059999</w:t>
            </w:r>
          </w:p>
        </w:tc>
        <w:tc>
          <w:tcPr>
            <w:tcW w:w="286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sz w:val="24"/>
                <w:szCs w:val="24"/>
              </w:rPr>
            </w:pPr>
            <w:r>
              <w:rPr>
                <w:rFonts w:hint="eastAsia" w:ascii="仿宋" w:hAnsi="仿宋" w:eastAsia="仿宋" w:cs="仿宋"/>
              </w:rPr>
              <w:t>其他教育支出</w:t>
            </w:r>
          </w:p>
        </w:tc>
        <w:tc>
          <w:tcPr>
            <w:tcW w:w="166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10.00</w:t>
            </w:r>
          </w:p>
        </w:tc>
        <w:tc>
          <w:tcPr>
            <w:tcW w:w="14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10.00</w:t>
            </w:r>
          </w:p>
        </w:tc>
        <w:tc>
          <w:tcPr>
            <w:tcW w:w="149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4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2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32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c>
          <w:tcPr>
            <w:tcW w:w="115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4"/>
                <w:szCs w:val="24"/>
              </w:rPr>
            </w:pPr>
            <w:r>
              <w:rPr>
                <w:rFonts w:hint="eastAsia" w:ascii="仿宋" w:hAnsi="仿宋" w:eastAsia="仿宋" w:cs="仿宋"/>
              </w:rPr>
              <w:t/>
            </w:r>
          </w:p>
        </w:tc>
      </w:tr>
      <w:tr>
        <w:tblPrEx>
          <w:tblCellMar>
            <w:top w:w="0" w:type="dxa"/>
            <w:left w:w="0" w:type="dxa"/>
            <w:bottom w:w="0" w:type="dxa"/>
            <w:right w:w="0" w:type="dxa"/>
          </w:tblCellMar>
        </w:tblPrEx>
        <w:trPr>
          <w:trHeight w:val="615" w:hRule="atLeast"/>
        </w:trPr>
        <w:tc>
          <w:tcPr>
            <w:tcW w:w="13988" w:type="dxa"/>
            <w:gridSpan w:val="9"/>
            <w:tcBorders>
              <w:top w:val="single" w:color="auto" w:sz="4" w:space="0"/>
              <w:left w:val="nil"/>
              <w:bottom w:val="nil"/>
              <w:right w:val="nil"/>
            </w:tcBorders>
            <w:shd w:val="clear" w:color="auto" w:fill="auto"/>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after="34" w:line="34" w:lineRule="atLeast"/>
              <w:textAlignment w:val="auto"/>
              <w:rPr>
                <w:rFonts w:hint="eastAsia" w:ascii="仿宋" w:hAnsi="仿宋" w:eastAsia="仿宋" w:cs="仿宋"/>
              </w:rPr>
            </w:pPr>
            <w:r>
              <w:rPr>
                <w:rFonts w:hint="eastAsia" w:ascii="仿宋" w:hAnsi="仿宋" w:eastAsia="仿宋" w:cs="仿宋"/>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6"/>
        <w:tblW w:w="13935" w:type="dxa"/>
        <w:tblInd w:w="91" w:type="dxa"/>
        <w:tblLayout w:type="fixed"/>
        <w:tblCellMar>
          <w:top w:w="0" w:type="dxa"/>
          <w:left w:w="108" w:type="dxa"/>
          <w:bottom w:w="0" w:type="dxa"/>
          <w:right w:w="108" w:type="dxa"/>
        </w:tblCellMar>
      </w:tblPr>
      <w:tblGrid>
        <w:gridCol w:w="1716"/>
        <w:gridCol w:w="3326"/>
        <w:gridCol w:w="1680"/>
        <w:gridCol w:w="1371"/>
        <w:gridCol w:w="1492"/>
        <w:gridCol w:w="1697"/>
        <w:gridCol w:w="1183"/>
        <w:gridCol w:w="1470"/>
      </w:tblGrid>
      <w:tr>
        <w:tblPrEx>
          <w:tblCellMar>
            <w:top w:w="0" w:type="dxa"/>
            <w:left w:w="108" w:type="dxa"/>
            <w:bottom w:w="0" w:type="dxa"/>
            <w:right w:w="108" w:type="dxa"/>
          </w:tblCellMar>
        </w:tblPrEx>
        <w:trPr>
          <w:trHeight w:val="435" w:hRule="atLeast"/>
        </w:trPr>
        <w:tc>
          <w:tcPr>
            <w:tcW w:w="13935" w:type="dxa"/>
            <w:gridSpan w:val="8"/>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支出决算表</w:t>
            </w:r>
          </w:p>
        </w:tc>
      </w:tr>
      <w:tr>
        <w:tblPrEx>
          <w:tblCellMar>
            <w:top w:w="0" w:type="dxa"/>
            <w:left w:w="108" w:type="dxa"/>
            <w:bottom w:w="0" w:type="dxa"/>
            <w:right w:w="108" w:type="dxa"/>
          </w:tblCellMar>
        </w:tblPrEx>
        <w:trPr>
          <w:trHeight w:val="90" w:hRule="atLeast"/>
        </w:trPr>
        <w:tc>
          <w:tcPr>
            <w:tcW w:w="12465" w:type="dxa"/>
            <w:gridSpan w:val="7"/>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70"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公开03表</w:t>
            </w:r>
          </w:p>
        </w:tc>
      </w:tr>
      <w:tr>
        <w:tblPrEx>
          <w:tblCellMar>
            <w:top w:w="0" w:type="dxa"/>
            <w:left w:w="108" w:type="dxa"/>
            <w:bottom w:w="0" w:type="dxa"/>
            <w:right w:w="108" w:type="dxa"/>
          </w:tblCellMar>
        </w:tblPrEx>
        <w:trPr>
          <w:trHeight w:val="104" w:hRule="atLeast"/>
        </w:trPr>
        <w:tc>
          <w:tcPr>
            <w:tcW w:w="12465" w:type="dxa"/>
            <w:gridSpan w:val="7"/>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w:t>
            </w:r>
            <w:r>
              <w:rPr>
                <w:rFonts w:ascii="仿宋" w:hAnsi="仿宋" w:cs="仿宋" w:eastAsia="仿宋"/>
                <w:color w:val="000000"/>
                <w:sz w:val="20"/>
              </w:rPr>
              <w:t>衡阳市实验小学</w:t>
            </w:r>
          </w:p>
        </w:tc>
        <w:tc>
          <w:tcPr>
            <w:tcW w:w="1470" w:type="dxa"/>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单位：万元</w:t>
            </w:r>
          </w:p>
        </w:tc>
      </w:tr>
      <w:tr>
        <w:tblPrEx>
          <w:tblCellMar>
            <w:top w:w="0" w:type="dxa"/>
            <w:left w:w="108" w:type="dxa"/>
            <w:bottom w:w="0" w:type="dxa"/>
            <w:right w:w="108" w:type="dxa"/>
          </w:tblCellMar>
        </w:tblPrEx>
        <w:trPr>
          <w:trHeight w:val="450" w:hRule="atLeast"/>
        </w:trPr>
        <w:tc>
          <w:tcPr>
            <w:tcW w:w="504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项    目</w:t>
            </w:r>
          </w:p>
        </w:tc>
        <w:tc>
          <w:tcPr>
            <w:tcW w:w="16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本年支出合计</w:t>
            </w:r>
          </w:p>
        </w:tc>
        <w:tc>
          <w:tcPr>
            <w:tcW w:w="137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基本支出</w:t>
            </w:r>
          </w:p>
        </w:tc>
        <w:tc>
          <w:tcPr>
            <w:tcW w:w="149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项目支出</w:t>
            </w:r>
          </w:p>
        </w:tc>
        <w:tc>
          <w:tcPr>
            <w:tcW w:w="169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上缴上级支出</w:t>
            </w:r>
          </w:p>
        </w:tc>
        <w:tc>
          <w:tcPr>
            <w:tcW w:w="11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经营支出</w:t>
            </w:r>
          </w:p>
        </w:tc>
        <w:tc>
          <w:tcPr>
            <w:tcW w:w="14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对附属单位补助支出</w:t>
            </w:r>
          </w:p>
        </w:tc>
      </w:tr>
      <w:tr>
        <w:tblPrEx>
          <w:tblCellMar>
            <w:top w:w="0" w:type="dxa"/>
            <w:left w:w="108" w:type="dxa"/>
            <w:bottom w:w="0" w:type="dxa"/>
            <w:right w:w="108" w:type="dxa"/>
          </w:tblCellMar>
        </w:tblPrEx>
        <w:trPr>
          <w:trHeight w:val="450" w:hRule="atLeast"/>
        </w:trPr>
        <w:tc>
          <w:tcPr>
            <w:tcW w:w="171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功能分类</w:t>
            </w:r>
          </w:p>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科目编码</w:t>
            </w:r>
          </w:p>
        </w:tc>
        <w:tc>
          <w:tcPr>
            <w:tcW w:w="33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科目名称</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3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69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2" w:hRule="atLeast"/>
        </w:trPr>
        <w:tc>
          <w:tcPr>
            <w:tcW w:w="171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33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3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69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39" w:hRule="atLeast"/>
        </w:trPr>
        <w:tc>
          <w:tcPr>
            <w:tcW w:w="504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栏次</w:t>
            </w:r>
          </w:p>
        </w:tc>
        <w:tc>
          <w:tcPr>
            <w:tcW w:w="16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371"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492"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69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18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5</w:t>
            </w:r>
          </w:p>
        </w:tc>
        <w:tc>
          <w:tcPr>
            <w:tcW w:w="147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6</w:t>
            </w:r>
          </w:p>
        </w:tc>
      </w:tr>
      <w:tr>
        <w:tblPrEx>
          <w:tblCellMar>
            <w:top w:w="0" w:type="dxa"/>
            <w:left w:w="108" w:type="dxa"/>
            <w:bottom w:w="0" w:type="dxa"/>
            <w:right w:w="108" w:type="dxa"/>
          </w:tblCellMar>
        </w:tblPrEx>
        <w:trPr>
          <w:trHeight w:val="657" w:hRule="atLeast"/>
        </w:trPr>
        <w:tc>
          <w:tcPr>
            <w:tcW w:w="504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
            </w:r>
            <w:r>
              <w:rPr>
                <w:rFonts w:hint="eastAsia" w:ascii="仿宋" w:hAnsi="仿宋" w:eastAsia="仿宋" w:cs="仿宋"/>
                <w:kern w:val="0"/>
                <w:sz w:val="24"/>
                <w:szCs w:val="24"/>
              </w:rPr>
              <w:t>合计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2,183.72</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2,122.81</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60.92</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205</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教育支出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2,183.72</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2,122.81</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60.92</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20502</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普通教育</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2,088.34</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2,088.34</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2050202</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小学教育</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2,023.61</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2,023.61</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2050299</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其他普通教育支出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64.73</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64.73</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20509</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教育费附加安排的支出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93.96</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33.04</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60.92</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2050999</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其他教育费附加安排的支出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93.96</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33.04</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60.92</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20599</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其他教育支出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1.43</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1.43</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r>
      <w:tr>
        <w:tblPrEx>
          <w:tblCellMar>
            <w:top w:w="0" w:type="dxa"/>
            <w:left w:w="108" w:type="dxa"/>
            <w:bottom w:w="0" w:type="dxa"/>
            <w:right w:w="108" w:type="dxa"/>
          </w:tblCellMar>
        </w:tblPrEx>
        <w:trPr>
          <w:trHeight w:val="448" w:hRule="atLeast"/>
        </w:trPr>
        <w:tc>
          <w:tcPr>
            <w:tcW w:w="171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 xml:space="preserve">    2059999</w:t>
            </w:r>
          </w:p>
        </w:tc>
        <w:tc>
          <w:tcPr>
            <w:tcW w:w="33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rPr>
              <w:t>其他教育支出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1.43</w:t>
            </w:r>
          </w:p>
        </w:tc>
        <w:tc>
          <w:tcPr>
            <w:tcW w:w="1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1.43</w:t>
            </w:r>
          </w:p>
        </w:tc>
        <w:tc>
          <w:tcPr>
            <w:tcW w:w="14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69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147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r>
      <w:tr>
        <w:tblPrEx>
          <w:tblCellMar>
            <w:top w:w="0" w:type="dxa"/>
            <w:left w:w="108" w:type="dxa"/>
            <w:bottom w:w="0" w:type="dxa"/>
            <w:right w:w="108" w:type="dxa"/>
          </w:tblCellMar>
        </w:tblPrEx>
        <w:trPr>
          <w:trHeight w:val="630" w:hRule="atLeast"/>
        </w:trPr>
        <w:tc>
          <w:tcPr>
            <w:tcW w:w="13935" w:type="dxa"/>
            <w:gridSpan w:val="8"/>
            <w:tcBorders>
              <w:top w:val="single" w:color="auto"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注：本表反映部门本年度各项支出情况。</w:t>
            </w:r>
          </w:p>
        </w:tc>
      </w:tr>
    </w:tbl>
    <w:p>
      <w:pPr>
        <w:rPr>
          <w:rFonts w:ascii="Times New Roman" w:hAnsi="Times New Roman" w:eastAsia="方正小标宋_GBK" w:cs="Times New Roman"/>
          <w:color w:val="000000"/>
          <w:kern w:val="0"/>
          <w:sz w:val="36"/>
          <w:szCs w:val="21"/>
        </w:rPr>
        <w:sectPr>
          <w:pgSz w:w="16838" w:h="11906" w:orient="landscape"/>
          <w:pgMar w:top="1803" w:right="1440" w:bottom="1803" w:left="1440" w:header="851" w:footer="992" w:gutter="0"/>
          <w:pgNumType w:fmt="numberInDash"/>
          <w:cols w:space="0" w:num="1"/>
          <w:rtlGutter w:val="0"/>
          <w:docGrid w:type="lines" w:linePitch="319" w:charSpace="0"/>
        </w:sectPr>
      </w:pPr>
    </w:p>
    <w:tbl>
      <w:tblPr>
        <w:tblStyle w:val="6"/>
        <w:tblW w:w="15522" w:type="dxa"/>
        <w:tblInd w:w="91" w:type="dxa"/>
        <w:tblLayout w:type="fixed"/>
        <w:tblCellMar>
          <w:top w:w="0" w:type="dxa"/>
          <w:left w:w="108" w:type="dxa"/>
          <w:bottom w:w="0" w:type="dxa"/>
          <w:right w:w="108" w:type="dxa"/>
        </w:tblCellMar>
      </w:tblPr>
      <w:tblGrid>
        <w:gridCol w:w="3208"/>
        <w:gridCol w:w="760"/>
        <w:gridCol w:w="1600"/>
        <w:gridCol w:w="3380"/>
        <w:gridCol w:w="820"/>
        <w:gridCol w:w="1580"/>
        <w:gridCol w:w="1400"/>
        <w:gridCol w:w="1360"/>
        <w:gridCol w:w="1414"/>
      </w:tblGrid>
      <w:tr>
        <w:tblPrEx>
          <w:tblCellMar>
            <w:top w:w="0" w:type="dxa"/>
            <w:left w:w="108" w:type="dxa"/>
            <w:bottom w:w="0" w:type="dxa"/>
            <w:right w:w="108" w:type="dxa"/>
          </w:tblCellMar>
        </w:tblPrEx>
        <w:trPr>
          <w:trHeight w:val="360" w:hRule="atLeast"/>
        </w:trPr>
        <w:tc>
          <w:tcPr>
            <w:tcW w:w="15522" w:type="dxa"/>
            <w:gridSpan w:val="9"/>
            <w:tcBorders>
              <w:top w:val="nil"/>
              <w:left w:val="nil"/>
              <w:bottom w:val="nil"/>
              <w:right w:val="nil"/>
            </w:tcBorders>
            <w:shd w:val="clear" w:color="auto" w:fill="auto"/>
            <w:noWrap/>
            <w:vAlign w:val="center"/>
          </w:tcPr>
          <w:p>
            <w:pPr>
              <w:widowControl/>
              <w:jc w:val="center"/>
              <w:rPr>
                <w:rFonts w:hint="eastAsia" w:ascii="仿宋" w:hAnsi="仿宋" w:eastAsia="仿宋" w:cs="仿宋"/>
                <w:color w:val="000000"/>
                <w:kern w:val="0"/>
                <w:sz w:val="32"/>
                <w:szCs w:val="32"/>
              </w:rPr>
            </w:pPr>
            <w:bookmarkStart w:id="0" w:name="RANGE!A1:I22"/>
            <w:bookmarkEnd w:id="0"/>
            <w:bookmarkStart w:id="1" w:name="RANGE!A1:F16"/>
            <w:r>
              <w:rPr>
                <w:rFonts w:hint="eastAsia" w:ascii="仿宋" w:hAnsi="仿宋" w:eastAsia="仿宋" w:cs="仿宋"/>
                <w:b/>
                <w:bCs/>
                <w:color w:val="000000"/>
                <w:kern w:val="0"/>
                <w:sz w:val="32"/>
                <w:szCs w:val="32"/>
              </w:rPr>
              <w:t>财政拨款收入支出决算总表</w:t>
            </w:r>
          </w:p>
        </w:tc>
      </w:tr>
      <w:tr>
        <w:tblPrEx>
          <w:tblCellMar>
            <w:top w:w="0" w:type="dxa"/>
            <w:left w:w="108" w:type="dxa"/>
            <w:bottom w:w="0" w:type="dxa"/>
            <w:right w:w="108" w:type="dxa"/>
          </w:tblCellMar>
        </w:tblPrEx>
        <w:trPr>
          <w:trHeight w:val="148" w:hRule="atLeast"/>
        </w:trPr>
        <w:tc>
          <w:tcPr>
            <w:tcW w:w="14108" w:type="dxa"/>
            <w:gridSpan w:val="8"/>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p>
        </w:tc>
        <w:tc>
          <w:tcPr>
            <w:tcW w:w="1414" w:type="dxa"/>
            <w:tcBorders>
              <w:top w:val="nil"/>
              <w:left w:val="nil"/>
              <w:bottom w:val="nil"/>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公开04表</w:t>
            </w:r>
          </w:p>
        </w:tc>
      </w:tr>
      <w:tr>
        <w:tblPrEx>
          <w:tblCellMar>
            <w:top w:w="0" w:type="dxa"/>
            <w:left w:w="108" w:type="dxa"/>
            <w:bottom w:w="0" w:type="dxa"/>
            <w:right w:w="108" w:type="dxa"/>
          </w:tblCellMar>
        </w:tblPrEx>
        <w:trPr>
          <w:trHeight w:val="90" w:hRule="atLeast"/>
        </w:trPr>
        <w:tc>
          <w:tcPr>
            <w:tcW w:w="14108" w:type="dxa"/>
            <w:gridSpan w:val="8"/>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w:t>
            </w:r>
            <w:r>
              <w:rPr>
                <w:rFonts w:ascii="仿宋" w:hAnsi="仿宋" w:cs="仿宋" w:eastAsia="仿宋"/>
                <w:color w:val="000000"/>
                <w:sz w:val="20"/>
              </w:rPr>
              <w:t>衡阳市实验小学</w:t>
            </w:r>
          </w:p>
        </w:tc>
        <w:tc>
          <w:tcPr>
            <w:tcW w:w="1414" w:type="dxa"/>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56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收入</w:t>
            </w:r>
          </w:p>
        </w:tc>
        <w:tc>
          <w:tcPr>
            <w:tcW w:w="9954"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支出</w:t>
            </w:r>
          </w:p>
        </w:tc>
      </w:tr>
      <w:tr>
        <w:tblPrEx>
          <w:tblCellMar>
            <w:top w:w="0" w:type="dxa"/>
            <w:left w:w="108" w:type="dxa"/>
            <w:bottom w:w="0" w:type="dxa"/>
            <w:right w:w="108" w:type="dxa"/>
          </w:tblCellMar>
        </w:tblPrEx>
        <w:trPr>
          <w:trHeight w:val="737"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项    目</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行次</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金额</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项    目</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0"/>
                <w:szCs w:val="20"/>
              </w:rPr>
            </w:pPr>
            <w:r>
              <w:rPr>
                <w:rFonts w:hint="eastAsia" w:ascii="仿宋" w:hAnsi="仿宋" w:eastAsia="仿宋" w:cs="仿宋"/>
                <w:kern w:val="0"/>
                <w:sz w:val="20"/>
                <w:szCs w:val="20"/>
              </w:rPr>
              <w:t>行次</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一般公共预算财政拨款</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政府性基金预算财政拨款</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
            </w:r>
            <w:r>
              <w:rPr>
                <w:rFonts w:ascii="仿宋" w:hAnsi="仿宋" w:cs="仿宋" w:eastAsia="仿宋"/>
                <w:sz w:val="24"/>
              </w:rPr>
              <w:t>栏    次</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栏    次</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lang w:val="en-US" w:eastAsia="zh-CN"/>
              </w:rPr>
            </w:pPr>
            <w:r>
              <w:rPr>
                <w:rFonts w:hint="eastAsia" w:ascii="仿宋" w:hAnsi="仿宋" w:eastAsia="仿宋" w:cs="仿宋"/>
              </w:rPr>
              <w:t>2</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3</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4</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rPr>
              <w:t>5</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一、一般公共预算财政拨款</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2,806.99</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一、一般公共服务支出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33</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二、政府性基金预算财政拨款</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二、外交支出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34</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三、国有资本经营财政拨款</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三、国防支出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35</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四、公共安全支出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36</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五、教育支出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37</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2,183.72</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2,183.72</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6</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六、科学技术支出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38</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7</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七、文化旅游体育与传媒支出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39</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8</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八、社会保障和就业支出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40</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9</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九、卫生健康支出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41</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十、节能环保支出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42</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11</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十一、城乡社区支出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43</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十二、农林水支出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44</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13</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十三、交通运输支出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45</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14</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十四、资源勘探工业信息等支出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46</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15</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十五、商业服务业等支出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47</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16</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十六、金融支出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48</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17</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十七、援助其他地区支出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49</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18</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十八、自然资源海洋气象等支出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50</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19</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十九、住房保障支出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51</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二十、粮油物资储备支出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52</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21</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二十一、国有资本经营预算支出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53</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二十二、灾害防治及应急管理支出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54</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23</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二十三、其他支出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55</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24</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二十四、债务还本支出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56</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25</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二十五、债务付息支出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57</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02"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26</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二十六、抗疫特别国债安排的支出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58</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97"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bCs/>
                <w:kern w:val="0"/>
                <w:sz w:val="22"/>
              </w:rPr>
            </w:pPr>
            <w:r>
              <w:rPr>
                <w:rFonts w:hint="eastAsia" w:ascii="仿宋" w:hAnsi="仿宋" w:eastAsia="仿宋" w:cs="仿宋"/>
                <w:b/>
                <w:bCs/>
                <w:kern w:val="0"/>
                <w:sz w:val="22"/>
              </w:rPr>
              <w:t/>
            </w:r>
            <w:r>
              <w:rPr>
                <w:rFonts w:ascii="仿宋" w:hAnsi="仿宋" w:cs="仿宋" w:eastAsia="仿宋"/>
                <w:b w:val="true"/>
                <w:sz w:val="22"/>
              </w:rPr>
              <w:t>本年收入合计</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lang w:val="en-US" w:eastAsia="zh-CN"/>
              </w:rPr>
            </w:pPr>
            <w:r>
              <w:rPr>
                <w:rFonts w:hint="eastAsia" w:ascii="仿宋" w:hAnsi="仿宋" w:eastAsia="仿宋" w:cs="仿宋"/>
                <w:kern w:val="0"/>
                <w:sz w:val="22"/>
                <w:lang w:val="en-US" w:eastAsia="zh-CN"/>
              </w:rPr>
              <w:t>27</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kern w:val="0"/>
                <w:sz w:val="22"/>
              </w:rPr>
              <w:t>2,806.99</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bCs/>
                <w:kern w:val="0"/>
                <w:sz w:val="22"/>
              </w:rPr>
            </w:pPr>
            <w:r>
              <w:rPr>
                <w:rFonts w:hint="eastAsia" w:ascii="仿宋" w:hAnsi="仿宋" w:eastAsia="仿宋" w:cs="仿宋"/>
                <w:b/>
                <w:bCs/>
                <w:kern w:val="0"/>
                <w:sz w:val="22"/>
              </w:rPr>
              <w:t>本年支出合计</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lang w:val="en-US" w:eastAsia="zh-CN"/>
              </w:rPr>
            </w:pPr>
            <w:r>
              <w:rPr>
                <w:rFonts w:hint="eastAsia" w:ascii="仿宋" w:hAnsi="仿宋" w:eastAsia="仿宋" w:cs="仿宋"/>
                <w:kern w:val="0"/>
                <w:sz w:val="22"/>
                <w:lang w:val="en-US" w:eastAsia="zh-CN"/>
              </w:rPr>
              <w:t>59</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2,183.72</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2,183.72</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bCs/>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年初财政拨款结转和结余</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28</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0.27</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年末财政拨款结转和结余</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60</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623.54</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623.54</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xml:space="preserve">  一般公共预算财政拨款</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29</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0.27</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61</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xml:space="preserve">  政府性基金预算财政拨款</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0.0</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62</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trPr>
        <w:tc>
          <w:tcPr>
            <w:tcW w:w="3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xml:space="preserve">  国有资本经营预算财政拨款</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31</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0.0</w:t>
            </w:r>
          </w:p>
        </w:tc>
        <w:tc>
          <w:tcPr>
            <w:tcW w:w="3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2"/>
              </w:rPr>
            </w:pPr>
            <w:r>
              <w:rPr>
                <w:rFonts w:hint="eastAsia" w:ascii="仿宋" w:hAnsi="仿宋" w:eastAsia="仿宋" w:cs="仿宋"/>
              </w:rPr>
              <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rPr>
            </w:pPr>
            <w:r>
              <w:rPr>
                <w:rFonts w:hint="eastAsia" w:ascii="仿宋" w:hAnsi="仿宋" w:eastAsia="仿宋" w:cs="仿宋"/>
              </w:rPr>
              <w:t>63</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459" w:hRule="atLeast"/>
        </w:trPr>
        <w:tc>
          <w:tcPr>
            <w:tcW w:w="3208"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bCs/>
                <w:kern w:val="0"/>
                <w:sz w:val="22"/>
              </w:rPr>
            </w:pPr>
            <w:r>
              <w:rPr>
                <w:rFonts w:hint="eastAsia" w:ascii="仿宋" w:hAnsi="仿宋" w:eastAsia="仿宋" w:cs="仿宋"/>
                <w:b/>
                <w:bCs/>
                <w:kern w:val="0"/>
                <w:sz w:val="22"/>
              </w:rPr>
              <w:t>总计</w:t>
            </w:r>
          </w:p>
        </w:tc>
        <w:tc>
          <w:tcPr>
            <w:tcW w:w="76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lang w:val="en-US" w:eastAsia="zh-CN"/>
              </w:rPr>
            </w:pPr>
            <w:r>
              <w:rPr>
                <w:rFonts w:hint="eastAsia" w:ascii="仿宋" w:hAnsi="仿宋" w:eastAsia="仿宋" w:cs="仿宋"/>
                <w:kern w:val="0"/>
                <w:sz w:val="22"/>
                <w:lang w:val="en-US" w:eastAsia="zh-CN"/>
              </w:rPr>
              <w:t>32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kern w:val="0"/>
                <w:sz w:val="22"/>
              </w:rPr>
              <w:t>2,807.26</w:t>
            </w:r>
          </w:p>
        </w:tc>
        <w:tc>
          <w:tcPr>
            <w:tcW w:w="33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bCs/>
                <w:kern w:val="0"/>
                <w:sz w:val="22"/>
              </w:rPr>
            </w:pPr>
            <w:r>
              <w:rPr>
                <w:rFonts w:hint="eastAsia" w:ascii="仿宋" w:hAnsi="仿宋" w:eastAsia="仿宋" w:cs="仿宋"/>
                <w:b/>
                <w:bCs/>
                <w:kern w:val="0"/>
                <w:sz w:val="22"/>
              </w:rPr>
              <w:t>总计</w:t>
            </w:r>
          </w:p>
        </w:tc>
        <w:tc>
          <w:tcPr>
            <w:tcW w:w="82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2"/>
                <w:lang w:val="en-US" w:eastAsia="zh-CN"/>
              </w:rPr>
            </w:pPr>
            <w:r>
              <w:rPr>
                <w:rFonts w:hint="eastAsia" w:ascii="仿宋" w:hAnsi="仿宋" w:eastAsia="仿宋" w:cs="仿宋"/>
                <w:kern w:val="0"/>
                <w:sz w:val="22"/>
                <w:lang w:val="en-US" w:eastAsia="zh-CN"/>
              </w:rPr>
              <w:t>64</w:t>
            </w:r>
          </w:p>
        </w:tc>
        <w:tc>
          <w:tcPr>
            <w:tcW w:w="158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2,807.26</w:t>
            </w:r>
          </w:p>
        </w:tc>
        <w:tc>
          <w:tcPr>
            <w:tcW w:w="1400"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2"/>
              </w:rPr>
            </w:pPr>
            <w:r>
              <w:rPr>
                <w:rFonts w:hint="eastAsia" w:ascii="仿宋" w:hAnsi="仿宋" w:eastAsia="仿宋" w:cs="仿宋"/>
              </w:rPr>
              <w:t>2,807.26</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bCs/>
                <w:kern w:val="0"/>
                <w:sz w:val="22"/>
              </w:rPr>
            </w:pPr>
            <w:r>
              <w:rPr>
                <w:rFonts w:hint="eastAsia" w:ascii="仿宋" w:hAnsi="仿宋" w:eastAsia="仿宋" w:cs="仿宋"/>
              </w:rPr>
              <w:t/>
            </w: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bCs/>
                <w:kern w:val="0"/>
                <w:sz w:val="22"/>
              </w:rPr>
            </w:pPr>
            <w:r>
              <w:rPr>
                <w:rFonts w:hint="eastAsia" w:ascii="仿宋" w:hAnsi="仿宋" w:eastAsia="仿宋" w:cs="仿宋"/>
              </w:rPr>
              <w:t/>
            </w:r>
          </w:p>
        </w:tc>
      </w:tr>
      <w:tr>
        <w:tblPrEx>
          <w:tblCellMar>
            <w:top w:w="0" w:type="dxa"/>
            <w:left w:w="108" w:type="dxa"/>
            <w:bottom w:w="0" w:type="dxa"/>
            <w:right w:w="108" w:type="dxa"/>
          </w:tblCellMar>
        </w:tblPrEx>
        <w:trPr>
          <w:trHeight w:val="295" w:hRule="atLeast"/>
        </w:trPr>
        <w:tc>
          <w:tcPr>
            <w:tcW w:w="15522" w:type="dxa"/>
            <w:gridSpan w:val="9"/>
            <w:tcBorders>
              <w:top w:val="single" w:color="auto"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注：本表反映部门本年度一般公共预算财政拨款、政府性基金预算财政拨款和国有资本经营预算财政拨款的总收支和年末结转结余情况。</w:t>
            </w:r>
          </w:p>
        </w:tc>
      </w:tr>
    </w:tbl>
    <w:p>
      <w:pPr>
        <w:widowControl/>
        <w:jc w:val="both"/>
        <w:rPr>
          <w:rFonts w:ascii="Times New Roman" w:hAnsi="Times New Roman" w:eastAsia="方正小标宋_GBK" w:cs="Times New Roman"/>
          <w:kern w:val="0"/>
          <w:sz w:val="36"/>
          <w:szCs w:val="36"/>
        </w:rPr>
        <w:sectPr>
          <w:pgSz w:w="16838" w:h="11906" w:orient="landscape"/>
          <w:pgMar w:top="1582" w:right="567" w:bottom="771" w:left="567" w:header="851" w:footer="992" w:gutter="0"/>
          <w:pgNumType w:fmt="numberInDash"/>
          <w:cols w:space="0" w:num="1"/>
          <w:rtlGutter w:val="0"/>
          <w:docGrid w:type="lines" w:linePitch="319" w:charSpace="0"/>
        </w:sectPr>
      </w:pPr>
    </w:p>
    <w:bookmarkEnd w:id="1"/>
    <w:tbl>
      <w:tblPr>
        <w:tblStyle w:val="6"/>
        <w:tblW w:w="14219" w:type="dxa"/>
        <w:jc w:val="center"/>
        <w:tblLayout w:type="fixed"/>
        <w:tblCellMar>
          <w:top w:w="0" w:type="dxa"/>
          <w:left w:w="108" w:type="dxa"/>
          <w:bottom w:w="0" w:type="dxa"/>
          <w:right w:w="108" w:type="dxa"/>
        </w:tblCellMar>
      </w:tblPr>
      <w:tblGrid>
        <w:gridCol w:w="1693"/>
        <w:gridCol w:w="4886"/>
        <w:gridCol w:w="2674"/>
        <w:gridCol w:w="2486"/>
        <w:gridCol w:w="2480"/>
      </w:tblGrid>
      <w:tr>
        <w:tblPrEx>
          <w:tblCellMar>
            <w:top w:w="0" w:type="dxa"/>
            <w:left w:w="108" w:type="dxa"/>
            <w:bottom w:w="0" w:type="dxa"/>
            <w:right w:w="108" w:type="dxa"/>
          </w:tblCellMar>
        </w:tblPrEx>
        <w:trPr>
          <w:trHeight w:val="405" w:hRule="atLeast"/>
          <w:jc w:val="center"/>
        </w:trPr>
        <w:tc>
          <w:tcPr>
            <w:tcW w:w="14219"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b/>
                <w:kern w:val="0"/>
                <w:szCs w:val="21"/>
              </w:rPr>
            </w:pPr>
            <w:r>
              <w:rPr>
                <w:rFonts w:hint="eastAsia" w:ascii="仿宋" w:hAnsi="仿宋" w:eastAsia="仿宋" w:cs="仿宋"/>
                <w:b/>
                <w:bCs/>
                <w:kern w:val="0"/>
                <w:sz w:val="36"/>
                <w:szCs w:val="36"/>
              </w:rPr>
              <w:t>一般公共预算财政拨款支出决算表</w:t>
            </w:r>
          </w:p>
        </w:tc>
      </w:tr>
      <w:tr>
        <w:tblPrEx>
          <w:tblCellMar>
            <w:top w:w="0" w:type="dxa"/>
            <w:left w:w="108" w:type="dxa"/>
            <w:bottom w:w="0" w:type="dxa"/>
            <w:right w:w="108" w:type="dxa"/>
          </w:tblCellMar>
        </w:tblPrEx>
        <w:trPr>
          <w:trHeight w:val="405" w:hRule="atLeast"/>
          <w:jc w:val="center"/>
        </w:trPr>
        <w:tc>
          <w:tcPr>
            <w:tcW w:w="14219" w:type="dxa"/>
            <w:gridSpan w:val="5"/>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kern w:val="0"/>
                <w:szCs w:val="21"/>
              </w:rPr>
            </w:pPr>
            <w:r>
              <w:rPr>
                <w:rFonts w:hint="eastAsia" w:ascii="仿宋" w:hAnsi="仿宋" w:eastAsia="仿宋" w:cs="仿宋"/>
                <w:color w:val="000000"/>
                <w:kern w:val="0"/>
                <w:szCs w:val="21"/>
              </w:rPr>
              <w:t>公开05表</w:t>
            </w:r>
          </w:p>
        </w:tc>
      </w:tr>
      <w:tr>
        <w:tblPrEx>
          <w:tblCellMar>
            <w:top w:w="0" w:type="dxa"/>
            <w:left w:w="108" w:type="dxa"/>
            <w:bottom w:w="0" w:type="dxa"/>
            <w:right w:w="108" w:type="dxa"/>
          </w:tblCellMar>
        </w:tblPrEx>
        <w:trPr>
          <w:trHeight w:val="405" w:hRule="atLeast"/>
          <w:jc w:val="center"/>
        </w:trPr>
        <w:tc>
          <w:tcPr>
            <w:tcW w:w="6579" w:type="dxa"/>
            <w:gridSpan w:val="2"/>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kern w:val="0"/>
                <w:szCs w:val="21"/>
              </w:rPr>
            </w:pPr>
            <w:r>
              <w:rPr>
                <w:rFonts w:hint="eastAsia" w:ascii="仿宋" w:hAnsi="仿宋" w:eastAsia="仿宋" w:cs="仿宋"/>
                <w:color w:val="000000"/>
                <w:kern w:val="0"/>
                <w:szCs w:val="21"/>
                <w:lang w:eastAsia="zh-CN"/>
              </w:rPr>
              <w:t>部门</w:t>
            </w:r>
            <w:r>
              <w:rPr>
                <w:rFonts w:hint="eastAsia" w:ascii="仿宋" w:hAnsi="仿宋" w:eastAsia="仿宋" w:cs="仿宋"/>
                <w:color w:val="000000"/>
                <w:kern w:val="0"/>
                <w:szCs w:val="21"/>
              </w:rPr>
              <w:t>：</w:t>
            </w:r>
            <w:r>
              <w:rPr>
                <w:rFonts w:ascii="仿宋" w:hAnsi="仿宋" w:cs="仿宋" w:eastAsia="仿宋"/>
                <w:color w:val="000000"/>
              </w:rPr>
              <w:t>衡阳市实验小学</w:t>
            </w:r>
          </w:p>
        </w:tc>
        <w:tc>
          <w:tcPr>
            <w:tcW w:w="7640" w:type="dxa"/>
            <w:gridSpan w:val="3"/>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kern w:val="0"/>
                <w:szCs w:val="21"/>
              </w:rPr>
            </w:pPr>
            <w:r>
              <w:rPr>
                <w:rFonts w:hint="eastAsia" w:ascii="仿宋" w:hAnsi="仿宋" w:eastAsia="仿宋" w:cs="仿宋"/>
                <w:color w:val="000000"/>
                <w:kern w:val="0"/>
                <w:szCs w:val="21"/>
              </w:rPr>
              <w:t>单位：万元</w:t>
            </w:r>
          </w:p>
        </w:tc>
      </w:tr>
      <w:tr>
        <w:tblPrEx>
          <w:tblCellMar>
            <w:top w:w="0" w:type="dxa"/>
            <w:left w:w="108" w:type="dxa"/>
            <w:bottom w:w="0" w:type="dxa"/>
            <w:right w:w="108" w:type="dxa"/>
          </w:tblCellMar>
        </w:tblPrEx>
        <w:trPr>
          <w:trHeight w:val="90" w:hRule="atLeast"/>
          <w:jc w:val="center"/>
        </w:trPr>
        <w:tc>
          <w:tcPr>
            <w:tcW w:w="6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kern w:val="0"/>
                <w:szCs w:val="21"/>
              </w:rPr>
            </w:pPr>
            <w:r>
              <w:rPr>
                <w:rFonts w:hint="eastAsia" w:ascii="仿宋" w:hAnsi="仿宋" w:eastAsia="仿宋" w:cs="仿宋"/>
                <w:b/>
                <w:kern w:val="0"/>
                <w:szCs w:val="21"/>
              </w:rPr>
              <w:t xml:space="preserve">项 </w:t>
            </w:r>
            <w:r>
              <w:rPr>
                <w:rFonts w:hint="eastAsia" w:ascii="仿宋" w:hAnsi="仿宋" w:eastAsia="仿宋" w:cs="仿宋"/>
                <w:b/>
                <w:color w:val="000000"/>
                <w:kern w:val="0"/>
                <w:szCs w:val="21"/>
              </w:rPr>
              <w:t xml:space="preserve">   </w:t>
            </w:r>
            <w:r>
              <w:rPr>
                <w:rFonts w:hint="eastAsia" w:ascii="仿宋" w:hAnsi="仿宋" w:eastAsia="仿宋" w:cs="仿宋"/>
                <w:b/>
                <w:kern w:val="0"/>
                <w:szCs w:val="21"/>
              </w:rPr>
              <w:t>目</w:t>
            </w:r>
          </w:p>
        </w:tc>
        <w:tc>
          <w:tcPr>
            <w:tcW w:w="76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kern w:val="0"/>
                <w:szCs w:val="21"/>
              </w:rPr>
            </w:pPr>
            <w:r>
              <w:rPr>
                <w:rFonts w:hint="eastAsia" w:ascii="仿宋" w:hAnsi="仿宋" w:eastAsia="仿宋" w:cs="仿宋"/>
                <w:b/>
                <w:kern w:val="0"/>
                <w:szCs w:val="21"/>
              </w:rPr>
              <w:t>本年支出</w:t>
            </w:r>
          </w:p>
        </w:tc>
      </w:tr>
      <w:tr>
        <w:tblPrEx>
          <w:tblCellMar>
            <w:top w:w="0" w:type="dxa"/>
            <w:left w:w="108" w:type="dxa"/>
            <w:bottom w:w="0" w:type="dxa"/>
            <w:right w:w="108" w:type="dxa"/>
          </w:tblCellMar>
        </w:tblPrEx>
        <w:trPr>
          <w:trHeight w:val="495" w:hRule="atLeast"/>
          <w:jc w:val="center"/>
        </w:trPr>
        <w:tc>
          <w:tcPr>
            <w:tcW w:w="16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kern w:val="0"/>
                <w:szCs w:val="21"/>
              </w:rPr>
            </w:pPr>
            <w:r>
              <w:rPr>
                <w:rFonts w:hint="eastAsia" w:ascii="仿宋" w:hAnsi="仿宋" w:eastAsia="仿宋" w:cs="仿宋"/>
                <w:b/>
                <w:kern w:val="0"/>
                <w:szCs w:val="21"/>
              </w:rPr>
              <w:t>功能分类</w:t>
            </w:r>
          </w:p>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kern w:val="0"/>
                <w:szCs w:val="21"/>
              </w:rPr>
            </w:pPr>
            <w:r>
              <w:rPr>
                <w:rFonts w:hint="eastAsia" w:ascii="仿宋" w:hAnsi="仿宋" w:eastAsia="仿宋" w:cs="仿宋"/>
                <w:b/>
                <w:kern w:val="0"/>
                <w:szCs w:val="21"/>
              </w:rPr>
              <w:t>科目编码</w:t>
            </w:r>
          </w:p>
        </w:tc>
        <w:tc>
          <w:tcPr>
            <w:tcW w:w="48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kern w:val="0"/>
                <w:szCs w:val="21"/>
              </w:rPr>
            </w:pPr>
            <w:r>
              <w:rPr>
                <w:rFonts w:hint="eastAsia" w:ascii="仿宋" w:hAnsi="仿宋" w:eastAsia="仿宋" w:cs="仿宋"/>
                <w:b/>
                <w:kern w:val="0"/>
                <w:szCs w:val="21"/>
              </w:rPr>
              <w:t>科目名称</w:t>
            </w:r>
          </w:p>
        </w:tc>
        <w:tc>
          <w:tcPr>
            <w:tcW w:w="26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kern w:val="0"/>
                <w:szCs w:val="21"/>
              </w:rPr>
            </w:pPr>
            <w:r>
              <w:rPr>
                <w:rFonts w:hint="eastAsia" w:ascii="仿宋" w:hAnsi="仿宋" w:eastAsia="仿宋" w:cs="仿宋"/>
                <w:b/>
                <w:kern w:val="0"/>
                <w:szCs w:val="21"/>
              </w:rPr>
              <w:t>小计</w:t>
            </w:r>
          </w:p>
        </w:tc>
        <w:tc>
          <w:tcPr>
            <w:tcW w:w="24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kern w:val="0"/>
                <w:szCs w:val="21"/>
              </w:rPr>
            </w:pPr>
            <w:r>
              <w:rPr>
                <w:rFonts w:hint="eastAsia" w:ascii="仿宋" w:hAnsi="仿宋" w:eastAsia="仿宋" w:cs="仿宋"/>
                <w:b/>
                <w:kern w:val="0"/>
                <w:szCs w:val="21"/>
              </w:rPr>
              <w:t>基本支出</w:t>
            </w:r>
          </w:p>
        </w:tc>
        <w:tc>
          <w:tcPr>
            <w:tcW w:w="2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b/>
                <w:kern w:val="0"/>
                <w:szCs w:val="21"/>
              </w:rPr>
            </w:pPr>
            <w:r>
              <w:rPr>
                <w:rFonts w:hint="eastAsia" w:ascii="仿宋" w:hAnsi="仿宋" w:eastAsia="仿宋" w:cs="仿宋"/>
                <w:b/>
                <w:kern w:val="0"/>
                <w:szCs w:val="21"/>
              </w:rPr>
              <w:t>项目支出</w:t>
            </w:r>
          </w:p>
        </w:tc>
      </w:tr>
      <w:tr>
        <w:tblPrEx>
          <w:tblCellMar>
            <w:top w:w="0" w:type="dxa"/>
            <w:left w:w="108" w:type="dxa"/>
            <w:bottom w:w="0" w:type="dxa"/>
            <w:right w:w="108" w:type="dxa"/>
          </w:tblCellMar>
        </w:tblPrEx>
        <w:trPr>
          <w:trHeight w:val="360" w:hRule="atLeast"/>
          <w:jc w:val="center"/>
        </w:trPr>
        <w:tc>
          <w:tcPr>
            <w:tcW w:w="169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48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26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24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r>
      <w:tr>
        <w:tblPrEx>
          <w:tblCellMar>
            <w:top w:w="0" w:type="dxa"/>
            <w:left w:w="108" w:type="dxa"/>
            <w:bottom w:w="0" w:type="dxa"/>
            <w:right w:w="108" w:type="dxa"/>
          </w:tblCellMar>
        </w:tblPrEx>
        <w:trPr>
          <w:trHeight w:val="312" w:hRule="atLeast"/>
          <w:jc w:val="center"/>
        </w:trPr>
        <w:tc>
          <w:tcPr>
            <w:tcW w:w="169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48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26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24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r>
      <w:tr>
        <w:tblPrEx>
          <w:tblCellMar>
            <w:top w:w="0" w:type="dxa"/>
            <w:left w:w="108" w:type="dxa"/>
            <w:bottom w:w="0" w:type="dxa"/>
            <w:right w:w="108" w:type="dxa"/>
          </w:tblCellMar>
        </w:tblPrEx>
        <w:trPr>
          <w:trHeight w:val="450" w:hRule="atLeast"/>
          <w:jc w:val="center"/>
        </w:trPr>
        <w:tc>
          <w:tcPr>
            <w:tcW w:w="6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栏次</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1</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2</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3</w:t>
            </w:r>
          </w:p>
        </w:tc>
      </w:tr>
      <w:tr>
        <w:tblPrEx>
          <w:tblCellMar>
            <w:top w:w="0" w:type="dxa"/>
            <w:left w:w="108" w:type="dxa"/>
            <w:bottom w:w="0" w:type="dxa"/>
            <w:right w:w="108" w:type="dxa"/>
          </w:tblCellMar>
        </w:tblPrEx>
        <w:trPr>
          <w:trHeight w:val="450" w:hRule="atLeast"/>
          <w:jc w:val="center"/>
        </w:trPr>
        <w:tc>
          <w:tcPr>
            <w:tcW w:w="6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
            </w:r>
            <w:r>
              <w:rPr>
                <w:rFonts w:ascii="仿宋" w:hAnsi="仿宋" w:cs="仿宋" w:eastAsia="仿宋"/>
              </w:rPr>
              <w:t>合计</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2,183.72</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2,122.81</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60.92</w:t>
            </w:r>
          </w:p>
        </w:tc>
      </w:tr>
      <w:tr>
        <w:tblPrEx>
          <w:tblCellMar>
            <w:top w:w="0" w:type="dxa"/>
            <w:left w:w="108" w:type="dxa"/>
            <w:bottom w:w="0" w:type="dxa"/>
            <w:right w:w="108" w:type="dxa"/>
          </w:tblCellMar>
        </w:tblPrEx>
        <w:trPr>
          <w:trHeight w:val="448" w:hRule="atLeast"/>
          <w:jc w:val="center"/>
        </w:trPr>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205</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教育支出</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2,183.72</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2,122.81</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60.92</w:t>
            </w:r>
          </w:p>
        </w:tc>
      </w:tr>
      <w:tr>
        <w:tblPrEx>
          <w:tblCellMar>
            <w:top w:w="0" w:type="dxa"/>
            <w:left w:w="108" w:type="dxa"/>
            <w:bottom w:w="0" w:type="dxa"/>
            <w:right w:w="108" w:type="dxa"/>
          </w:tblCellMar>
        </w:tblPrEx>
        <w:trPr>
          <w:trHeight w:val="448" w:hRule="atLeast"/>
          <w:jc w:val="center"/>
        </w:trPr>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 xml:space="preserve">  20502</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普通教育</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2,088.34</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2,088.34</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
            </w:r>
          </w:p>
        </w:tc>
      </w:tr>
      <w:tr>
        <w:tblPrEx>
          <w:tblCellMar>
            <w:top w:w="0" w:type="dxa"/>
            <w:left w:w="108" w:type="dxa"/>
            <w:bottom w:w="0" w:type="dxa"/>
            <w:right w:w="108" w:type="dxa"/>
          </w:tblCellMar>
        </w:tblPrEx>
        <w:trPr>
          <w:trHeight w:val="448" w:hRule="atLeast"/>
          <w:jc w:val="center"/>
        </w:trPr>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 xml:space="preserve">    2050202</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小学教育</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2,023.61</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2,023.61</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
            </w:r>
          </w:p>
        </w:tc>
      </w:tr>
      <w:tr>
        <w:tblPrEx>
          <w:tblCellMar>
            <w:top w:w="0" w:type="dxa"/>
            <w:left w:w="108" w:type="dxa"/>
            <w:bottom w:w="0" w:type="dxa"/>
            <w:right w:w="108" w:type="dxa"/>
          </w:tblCellMar>
        </w:tblPrEx>
        <w:trPr>
          <w:trHeight w:val="448" w:hRule="atLeast"/>
          <w:jc w:val="center"/>
        </w:trPr>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 xml:space="preserve">    2050299</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其他普通教育支出</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64.73</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64.73</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
            </w:r>
          </w:p>
        </w:tc>
      </w:tr>
      <w:tr>
        <w:tblPrEx>
          <w:tblCellMar>
            <w:top w:w="0" w:type="dxa"/>
            <w:left w:w="108" w:type="dxa"/>
            <w:bottom w:w="0" w:type="dxa"/>
            <w:right w:w="108" w:type="dxa"/>
          </w:tblCellMar>
        </w:tblPrEx>
        <w:trPr>
          <w:trHeight w:val="448" w:hRule="atLeast"/>
          <w:jc w:val="center"/>
        </w:trPr>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 xml:space="preserve">  20509</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教育费附加安排的支出</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93.96</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33.04</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60.92</w:t>
            </w:r>
          </w:p>
        </w:tc>
      </w:tr>
      <w:tr>
        <w:tblPrEx>
          <w:tblCellMar>
            <w:top w:w="0" w:type="dxa"/>
            <w:left w:w="108" w:type="dxa"/>
            <w:bottom w:w="0" w:type="dxa"/>
            <w:right w:w="108" w:type="dxa"/>
          </w:tblCellMar>
        </w:tblPrEx>
        <w:trPr>
          <w:trHeight w:val="448" w:hRule="atLeast"/>
          <w:jc w:val="center"/>
        </w:trPr>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 xml:space="preserve">    2050999</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其他教育费附加安排的支出</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93.96</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33.04</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60.92</w:t>
            </w:r>
          </w:p>
        </w:tc>
      </w:tr>
      <w:tr>
        <w:tblPrEx>
          <w:tblCellMar>
            <w:top w:w="0" w:type="dxa"/>
            <w:left w:w="108" w:type="dxa"/>
            <w:bottom w:w="0" w:type="dxa"/>
            <w:right w:w="108" w:type="dxa"/>
          </w:tblCellMar>
        </w:tblPrEx>
        <w:trPr>
          <w:trHeight w:val="448" w:hRule="atLeast"/>
          <w:jc w:val="center"/>
        </w:trPr>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 xml:space="preserve">  20599</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其他教育支出</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1.43</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1.43</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
            </w:r>
          </w:p>
        </w:tc>
      </w:tr>
      <w:tr>
        <w:tblPrEx>
          <w:tblCellMar>
            <w:top w:w="0" w:type="dxa"/>
            <w:left w:w="108" w:type="dxa"/>
            <w:bottom w:w="0" w:type="dxa"/>
            <w:right w:w="108" w:type="dxa"/>
          </w:tblCellMar>
        </w:tblPrEx>
        <w:trPr>
          <w:trHeight w:val="448" w:hRule="atLeast"/>
          <w:jc w:val="center"/>
        </w:trPr>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 xml:space="preserve">    2059999</w:t>
            </w:r>
          </w:p>
        </w:tc>
        <w:tc>
          <w:tcPr>
            <w:tcW w:w="4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rPr>
              <w:t>其他教育支出</w:t>
            </w:r>
          </w:p>
        </w:tc>
        <w:tc>
          <w:tcPr>
            <w:tcW w:w="2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1.43</w:t>
            </w:r>
          </w:p>
        </w:tc>
        <w:tc>
          <w:tcPr>
            <w:tcW w:w="24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1.43</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
            </w:r>
          </w:p>
        </w:tc>
      </w:tr>
      <w:tr>
        <w:tblPrEx>
          <w:tblCellMar>
            <w:top w:w="0" w:type="dxa"/>
            <w:left w:w="108" w:type="dxa"/>
            <w:bottom w:w="0" w:type="dxa"/>
            <w:right w:w="108" w:type="dxa"/>
          </w:tblCellMar>
        </w:tblPrEx>
        <w:trPr>
          <w:trHeight w:val="90" w:hRule="atLeast"/>
          <w:jc w:val="center"/>
        </w:trPr>
        <w:tc>
          <w:tcPr>
            <w:tcW w:w="14219" w:type="dxa"/>
            <w:gridSpan w:val="5"/>
            <w:tcBorders>
              <w:top w:val="single" w:color="auto"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sectPr>
          <w:pgSz w:w="16838" w:h="11906" w:orient="landscape"/>
          <w:pgMar w:top="1803" w:right="1440" w:bottom="1803" w:left="1440" w:header="851" w:footer="992" w:gutter="0"/>
          <w:pgNumType w:fmt="numberInDash"/>
          <w:cols w:space="0" w:num="1"/>
          <w:rtlGutter w:val="0"/>
          <w:docGrid w:type="lines" w:linePitch="319" w:charSpace="0"/>
        </w:sectPr>
      </w:pPr>
    </w:p>
    <w:tbl>
      <w:tblPr>
        <w:tblStyle w:val="6"/>
        <w:tblW w:w="0" w:type="auto"/>
        <w:tblInd w:w="0" w:type="dxa"/>
        <w:tblLayout w:type="fixed"/>
        <w:tblCellMar>
          <w:top w:w="0" w:type="dxa"/>
          <w:left w:w="108" w:type="dxa"/>
          <w:bottom w:w="0" w:type="dxa"/>
          <w:right w:w="108" w:type="dxa"/>
        </w:tblCellMar>
      </w:tblPr>
      <w:tblGrid>
        <w:gridCol w:w="1068"/>
        <w:gridCol w:w="3153"/>
        <w:gridCol w:w="1260"/>
        <w:gridCol w:w="1220"/>
        <w:gridCol w:w="2920"/>
        <w:gridCol w:w="1180"/>
        <w:gridCol w:w="1180"/>
        <w:gridCol w:w="2520"/>
        <w:gridCol w:w="1300"/>
      </w:tblGrid>
      <w:tr>
        <w:tblPrEx>
          <w:tblCellMar>
            <w:top w:w="0" w:type="dxa"/>
            <w:left w:w="108" w:type="dxa"/>
            <w:bottom w:w="0" w:type="dxa"/>
            <w:right w:w="108" w:type="dxa"/>
          </w:tblCellMar>
        </w:tblPrEx>
        <w:trPr>
          <w:trHeight w:val="113" w:hRule="atLeast"/>
        </w:trPr>
        <w:tc>
          <w:tcPr>
            <w:tcW w:w="15801" w:type="dxa"/>
            <w:gridSpan w:val="9"/>
            <w:tcBorders>
              <w:top w:val="nil"/>
              <w:left w:val="nil"/>
              <w:bottom w:val="nil"/>
              <w:right w:val="nil"/>
            </w:tcBorders>
            <w:shd w:val="clear" w:color="auto" w:fill="auto"/>
            <w:vAlign w:val="center"/>
          </w:tcPr>
          <w:p>
            <w:pPr>
              <w:widowControl/>
              <w:jc w:val="center"/>
              <w:rPr>
                <w:rFonts w:hint="eastAsia" w:ascii="仿宋" w:hAnsi="仿宋" w:eastAsia="仿宋" w:cs="仿宋"/>
                <w:color w:val="000000"/>
                <w:kern w:val="0"/>
                <w:szCs w:val="20"/>
              </w:rPr>
            </w:pPr>
            <w:bookmarkStart w:id="2" w:name="RANGE!A1:I34"/>
            <w:r>
              <w:rPr>
                <w:rFonts w:hint="eastAsia" w:ascii="仿宋" w:hAnsi="仿宋" w:eastAsia="仿宋" w:cs="仿宋"/>
                <w:b/>
                <w:bCs/>
                <w:kern w:val="0"/>
                <w:sz w:val="36"/>
                <w:szCs w:val="36"/>
              </w:rPr>
              <w:t>一般公共预算财政拨款基本支出决算表</w:t>
            </w:r>
            <w:bookmarkEnd w:id="2"/>
          </w:p>
        </w:tc>
      </w:tr>
      <w:tr>
        <w:tblPrEx>
          <w:tblCellMar>
            <w:top w:w="0" w:type="dxa"/>
            <w:left w:w="108" w:type="dxa"/>
            <w:bottom w:w="0" w:type="dxa"/>
            <w:right w:w="108" w:type="dxa"/>
          </w:tblCellMar>
        </w:tblPrEx>
        <w:trPr>
          <w:trHeight w:val="90" w:hRule="atLeast"/>
        </w:trPr>
        <w:tc>
          <w:tcPr>
            <w:tcW w:w="15801" w:type="dxa"/>
            <w:gridSpan w:val="9"/>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1"/>
              </w:rPr>
              <w:t>公开06表</w:t>
            </w:r>
          </w:p>
        </w:tc>
      </w:tr>
      <w:tr>
        <w:tblPrEx>
          <w:tblCellMar>
            <w:top w:w="0" w:type="dxa"/>
            <w:left w:w="108" w:type="dxa"/>
            <w:bottom w:w="0" w:type="dxa"/>
            <w:right w:w="108" w:type="dxa"/>
          </w:tblCellMar>
        </w:tblPrEx>
        <w:trPr>
          <w:trHeight w:val="113" w:hRule="atLeast"/>
        </w:trPr>
        <w:tc>
          <w:tcPr>
            <w:tcW w:w="11981" w:type="dxa"/>
            <w:gridSpan w:val="7"/>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1"/>
                <w:lang w:eastAsia="zh-CN"/>
              </w:rPr>
              <w:t>部门</w:t>
            </w:r>
            <w:r>
              <w:rPr>
                <w:rFonts w:hint="eastAsia" w:ascii="仿宋" w:hAnsi="仿宋" w:eastAsia="仿宋" w:cs="仿宋"/>
                <w:color w:val="000000"/>
                <w:kern w:val="0"/>
                <w:szCs w:val="21"/>
              </w:rPr>
              <w:t>：</w:t>
            </w:r>
            <w:r>
              <w:rPr>
                <w:rFonts w:ascii="仿宋" w:hAnsi="仿宋" w:cs="仿宋" w:eastAsia="仿宋"/>
                <w:color w:val="000000"/>
              </w:rPr>
              <w:t>衡阳市实验小学</w:t>
            </w:r>
          </w:p>
        </w:tc>
        <w:tc>
          <w:tcPr>
            <w:tcW w:w="3820" w:type="dxa"/>
            <w:gridSpan w:val="2"/>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1"/>
              </w:rPr>
              <w:t>单位：万元</w:t>
            </w:r>
          </w:p>
        </w:tc>
      </w:tr>
      <w:tr>
        <w:tblPrEx>
          <w:tblCellMar>
            <w:top w:w="0" w:type="dxa"/>
            <w:left w:w="108" w:type="dxa"/>
            <w:bottom w:w="0" w:type="dxa"/>
            <w:right w:w="108" w:type="dxa"/>
          </w:tblCellMar>
        </w:tblPrEx>
        <w:trPr>
          <w:trHeight w:val="113" w:hRule="atLeast"/>
        </w:trPr>
        <w:tc>
          <w:tcPr>
            <w:tcW w:w="54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人员经费</w:t>
            </w:r>
          </w:p>
        </w:tc>
        <w:tc>
          <w:tcPr>
            <w:tcW w:w="103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公用经费</w:t>
            </w:r>
          </w:p>
        </w:tc>
      </w:tr>
      <w:tr>
        <w:tblPrEx>
          <w:tblCellMar>
            <w:top w:w="0" w:type="dxa"/>
            <w:left w:w="108" w:type="dxa"/>
            <w:bottom w:w="0" w:type="dxa"/>
            <w:right w:w="108" w:type="dxa"/>
          </w:tblCellMar>
        </w:tblPrEx>
        <w:trPr>
          <w:trHeight w:val="113" w:hRule="atLeast"/>
        </w:trPr>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 w:val="20"/>
                <w:szCs w:val="20"/>
              </w:rPr>
              <w:t/>
            </w:r>
            <w:r>
              <w:rPr>
                <w:rFonts w:ascii="仿宋" w:hAnsi="仿宋" w:cs="仿宋" w:eastAsia="仿宋"/>
                <w:color w:val="000000"/>
                <w:sz w:val="20"/>
              </w:rPr>
              <w:t>经济分类科目编码</w:t>
            </w:r>
          </w:p>
        </w:tc>
        <w:tc>
          <w:tcPr>
            <w:tcW w:w="31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科目名称</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决算数</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经济分类科目编码</w:t>
            </w:r>
          </w:p>
        </w:tc>
        <w:tc>
          <w:tcPr>
            <w:tcW w:w="2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科目名称</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决算数</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经济分类科目编码</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科目名称</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决算数</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工资福利支出</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1,792.30</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商品和服务支出</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222.51</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307</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债务利息及费用支出</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30101</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基本工资</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553.98</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30201</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办公费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26.96</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30701</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国内债务付息</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30102</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津贴补贴</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3.50</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30202</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印刷费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9.51</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30702</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国外债务付息</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30103</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奖金</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95.47</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30203</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咨询费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资本性支出</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17.60</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30106</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伙食补助费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18.19</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30204</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手续费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31001</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房屋建筑物购建</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30107</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绩效工资</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515.92</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30205</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水费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7.28</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31002</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办公设备购置</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1.77</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30108</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机关事业单位基本养老保险缴费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162.19</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30206</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电费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10.50</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31003</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专用设备购置</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9.37</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30109</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职业年金缴费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10.24</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30207</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邮电费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31005</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基础设施建设</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30110</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职工基本医疗保险缴费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74.77</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30208</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取暖费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31006</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大型修缮</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30111</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公务员医疗补助缴费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57.83</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30209</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物业管理费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24.76</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31007</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信息网络及软件购置更新</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4.97</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30112</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其他社会保障缴费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2.98</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30211</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差旅费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0.42</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31008</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物资储备</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30113</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住房公积金</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153.57</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30212</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因公出国（境）费用</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31009</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土地补偿</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30114</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医疗费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68.68</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30213</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维修（护）费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31.93</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31010</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安置补助</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30199</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其他工资福利支出</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74.96</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30214</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租赁费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31011</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地上附着物和青苗补偿</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对个人和家庭的补助</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90.41</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30215</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会议费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31012</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拆迁补偿</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30301</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离休费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30216</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培训费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0.38</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31013</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公务用车购置</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30302</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退休费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30217</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公务接待费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31019</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其他交通工具购置</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30303</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退职（役）费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30218</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专用材料费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4.05</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31021</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文物和陈列品购置</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30304</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抚恤金</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30224</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被装购置费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31022</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无形资产购置</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30305</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生活补助</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30225</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专用燃料费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31099</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其他资本性支出</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1.49</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30306</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救济费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30226</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劳务费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399</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其他支出</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30307</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医疗费补助</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15.88</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30227</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委托业务费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39906</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赠与</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30308</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助学金</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30228</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工会经费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75.82</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39907</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国家赔偿费用支出</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30309</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奖励金</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68.99</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30229</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福利费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39908</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对民间非营利组织和群众性自治组织补贴</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30310</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个人农业生产补贴</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30231</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公务用车运行维护费</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39999</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xml:space="preserve">  其他支出</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30311</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代缴社会保险费</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30239</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其他交通费用</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2.82</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30399</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其他对个人和家庭的补助</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5.54</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30240</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税金及附加费用</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394" w:hRule="exact"/>
        </w:trPr>
        <w:tc>
          <w:tcPr>
            <w:tcW w:w="10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w:r>
          </w:p>
        </w:tc>
        <w:tc>
          <w:tcPr>
            <w:tcW w:w="31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c>
          <w:tcPr>
            <w:tcW w:w="1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30299</w:t>
            </w:r>
          </w:p>
        </w:tc>
        <w:tc>
          <w:tcPr>
            <w:tcW w:w="29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0"/>
              </w:rPr>
            </w:pPr>
            <w:r>
              <w:rPr>
                <w:rFonts w:hint="eastAsia" w:ascii="仿宋" w:hAnsi="仿宋" w:eastAsia="仿宋" w:cs="仿宋"/>
              </w:rPr>
              <w:t xml:space="preserve">  其他商品和服务支出</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28.06</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18"/>
              </w:rPr>
            </w:pPr>
            <w:r>
              <w:rPr>
                <w:rFonts w:hint="eastAsia" w:ascii="仿宋" w:hAnsi="仿宋" w:eastAsia="仿宋" w:cs="仿宋"/>
              </w:rPr>
              <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rPr>
              <w:t/>
            </w:r>
          </w:p>
        </w:tc>
      </w:tr>
      <w:tr>
        <w:tblPrEx>
          <w:tblCellMar>
            <w:top w:w="0" w:type="dxa"/>
            <w:left w:w="108" w:type="dxa"/>
            <w:bottom w:w="0" w:type="dxa"/>
            <w:right w:w="108" w:type="dxa"/>
          </w:tblCellMar>
        </w:tblPrEx>
        <w:trPr>
          <w:trHeight w:val="403" w:hRule="exact"/>
        </w:trPr>
        <w:tc>
          <w:tcPr>
            <w:tcW w:w="422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人员经费合计</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1,882.70</w:t>
            </w:r>
          </w:p>
        </w:tc>
        <w:tc>
          <w:tcPr>
            <w:tcW w:w="90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Cs w:val="20"/>
              </w:rPr>
            </w:pPr>
            <w:r>
              <w:rPr>
                <w:rFonts w:hint="eastAsia" w:ascii="仿宋" w:hAnsi="仿宋" w:eastAsia="仿宋" w:cs="仿宋"/>
                <w:color w:val="000000"/>
                <w:kern w:val="0"/>
                <w:szCs w:val="20"/>
              </w:rPr>
              <w:t>公用经费合计</w:t>
            </w:r>
          </w:p>
        </w:tc>
        <w:tc>
          <w:tcPr>
            <w:tcW w:w="13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Cs w:val="18"/>
              </w:rPr>
            </w:pPr>
            <w:r>
              <w:rPr>
                <w:rFonts w:hint="eastAsia" w:ascii="仿宋" w:hAnsi="仿宋" w:eastAsia="仿宋" w:cs="仿宋"/>
                <w:color w:val="000000"/>
                <w:kern w:val="0"/>
                <w:szCs w:val="18"/>
              </w:rPr>
              <w:t>240.10</w:t>
            </w:r>
          </w:p>
        </w:tc>
      </w:tr>
      <w:tr>
        <w:tblPrEx>
          <w:tblCellMar>
            <w:top w:w="0" w:type="dxa"/>
            <w:left w:w="108" w:type="dxa"/>
            <w:bottom w:w="0" w:type="dxa"/>
            <w:right w:w="108" w:type="dxa"/>
          </w:tblCellMar>
        </w:tblPrEx>
        <w:trPr>
          <w:trHeight w:val="641" w:hRule="exact"/>
        </w:trPr>
        <w:tc>
          <w:tcPr>
            <w:tcW w:w="15801" w:type="dxa"/>
            <w:gridSpan w:val="9"/>
            <w:tcBorders>
              <w:top w:val="single" w:color="auto" w:sz="4" w:space="0"/>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color w:val="000000"/>
                <w:kern w:val="0"/>
                <w:szCs w:val="24"/>
              </w:rPr>
            </w:pPr>
            <w:r>
              <w:rPr>
                <w:rFonts w:hint="eastAsia" w:ascii="仿宋" w:hAnsi="仿宋" w:eastAsia="仿宋" w:cs="仿宋"/>
                <w:color w:val="000000"/>
                <w:kern w:val="0"/>
                <w:szCs w:val="24"/>
              </w:rPr>
              <w:t>注：本表反映部门本年度一般公共预算财政拨款基本支出明细情况。</w:t>
            </w:r>
          </w:p>
          <w:p>
            <w:pPr>
              <w:widowControl/>
              <w:jc w:val="left"/>
              <w:rPr>
                <w:rFonts w:hint="eastAsia" w:ascii="仿宋" w:hAnsi="仿宋" w:eastAsia="仿宋" w:cs="仿宋"/>
                <w:color w:val="000000"/>
                <w:kern w:val="0"/>
                <w:szCs w:val="24"/>
              </w:rPr>
            </w:pPr>
          </w:p>
          <w:p>
            <w:pPr>
              <w:widowControl/>
              <w:jc w:val="left"/>
              <w:rPr>
                <w:rFonts w:hint="eastAsia" w:ascii="仿宋" w:hAnsi="仿宋" w:eastAsia="仿宋" w:cs="仿宋"/>
                <w:color w:val="000000"/>
                <w:kern w:val="0"/>
                <w:szCs w:val="24"/>
              </w:rPr>
            </w:pPr>
          </w:p>
        </w:tc>
      </w:tr>
    </w:tbl>
    <w:p>
      <w:pPr>
        <w:widowControl/>
        <w:jc w:val="center"/>
        <w:rPr>
          <w:rFonts w:hint="eastAsia" w:ascii="Times New Roman" w:hAnsi="Times New Roman" w:eastAsia="方正小标宋_GBK" w:cs="Times New Roman"/>
          <w:color w:val="000000"/>
          <w:kern w:val="0"/>
          <w:sz w:val="36"/>
          <w:szCs w:val="36"/>
        </w:rPr>
        <w:sectPr>
          <w:pgSz w:w="16838" w:h="11906" w:orient="landscape"/>
          <w:pgMar w:top="1582" w:right="567" w:bottom="771" w:left="567" w:header="851" w:footer="992" w:gutter="0"/>
          <w:pgNumType w:fmt="numberInDash"/>
          <w:cols w:space="0" w:num="1"/>
          <w:rtlGutter w:val="0"/>
          <w:docGrid w:type="lines" w:linePitch="319" w:charSpace="0"/>
        </w:sectPr>
      </w:pPr>
    </w:p>
    <w:tbl>
      <w:tblPr>
        <w:tblStyle w:val="6"/>
        <w:tblW w:w="14640" w:type="dxa"/>
        <w:jc w:val="center"/>
        <w:tblLayout w:type="autofit"/>
        <w:tblCellMar>
          <w:top w:w="0" w:type="dxa"/>
          <w:left w:w="108" w:type="dxa"/>
          <w:bottom w:w="0" w:type="dxa"/>
          <w:right w:w="108" w:type="dxa"/>
        </w:tblCellMar>
      </w:tblPr>
      <w:tblGrid>
        <w:gridCol w:w="1581"/>
        <w:gridCol w:w="1184"/>
        <w:gridCol w:w="1184"/>
        <w:gridCol w:w="1185"/>
        <w:gridCol w:w="1185"/>
        <w:gridCol w:w="1185"/>
        <w:gridCol w:w="1185"/>
        <w:gridCol w:w="1185"/>
        <w:gridCol w:w="1185"/>
        <w:gridCol w:w="1185"/>
        <w:gridCol w:w="1198"/>
        <w:gridCol w:w="1198"/>
      </w:tblGrid>
      <w:tr>
        <w:tblPrEx>
          <w:tblCellMar>
            <w:top w:w="0" w:type="dxa"/>
            <w:left w:w="108" w:type="dxa"/>
            <w:bottom w:w="0" w:type="dxa"/>
            <w:right w:w="108" w:type="dxa"/>
          </w:tblCellMar>
        </w:tblPrEx>
        <w:trPr>
          <w:trHeight w:val="397" w:hRule="atLeast"/>
          <w:jc w:val="center"/>
        </w:trPr>
        <w:tc>
          <w:tcPr>
            <w:tcW w:w="14640" w:type="dxa"/>
            <w:gridSpan w:val="12"/>
            <w:tcBorders>
              <w:top w:val="nil"/>
              <w:left w:val="nil"/>
              <w:bottom w:val="nil"/>
              <w:right w:val="nil"/>
            </w:tcBorders>
            <w:shd w:val="clear" w:color="auto" w:fill="auto"/>
            <w:vAlign w:val="center"/>
          </w:tcPr>
          <w:p>
            <w:pPr>
              <w:widowControl/>
              <w:jc w:val="center"/>
              <w:rPr>
                <w:rFonts w:hint="eastAsia" w:ascii="仿宋" w:hAnsi="仿宋" w:eastAsia="仿宋" w:cs="仿宋"/>
                <w:kern w:val="0"/>
                <w:szCs w:val="21"/>
              </w:rPr>
            </w:pPr>
            <w:r>
              <w:rPr>
                <w:rFonts w:hint="eastAsia" w:ascii="仿宋" w:hAnsi="仿宋" w:eastAsia="仿宋" w:cs="仿宋"/>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157" w:hRule="atLeast"/>
          <w:jc w:val="center"/>
        </w:trPr>
        <w:tc>
          <w:tcPr>
            <w:tcW w:w="7320"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p>
        </w:tc>
        <w:tc>
          <w:tcPr>
            <w:tcW w:w="7320"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color w:val="000000"/>
                <w:kern w:val="0"/>
                <w:szCs w:val="21"/>
              </w:rPr>
              <w:t>公开07表</w:t>
            </w:r>
          </w:p>
        </w:tc>
      </w:tr>
      <w:tr>
        <w:tblPrEx>
          <w:tblCellMar>
            <w:top w:w="0" w:type="dxa"/>
            <w:left w:w="108" w:type="dxa"/>
            <w:bottom w:w="0" w:type="dxa"/>
            <w:right w:w="108" w:type="dxa"/>
          </w:tblCellMar>
        </w:tblPrEx>
        <w:trPr>
          <w:trHeight w:val="90" w:hRule="atLeast"/>
          <w:jc w:val="center"/>
        </w:trPr>
        <w:tc>
          <w:tcPr>
            <w:tcW w:w="7320" w:type="dxa"/>
            <w:gridSpan w:val="6"/>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color w:val="000000"/>
                <w:kern w:val="0"/>
                <w:szCs w:val="21"/>
                <w:lang w:eastAsia="zh-CN"/>
              </w:rPr>
              <w:t>部门</w:t>
            </w:r>
            <w:r>
              <w:rPr>
                <w:rFonts w:hint="eastAsia" w:ascii="仿宋" w:hAnsi="仿宋" w:eastAsia="仿宋" w:cs="仿宋"/>
                <w:color w:val="000000"/>
                <w:kern w:val="0"/>
                <w:szCs w:val="21"/>
              </w:rPr>
              <w:t>：</w:t>
            </w:r>
            <w:r>
              <w:rPr>
                <w:rFonts w:ascii="仿宋" w:hAnsi="仿宋" w:cs="仿宋" w:eastAsia="仿宋"/>
                <w:color w:val="000000"/>
              </w:rPr>
              <w:t>衡阳市实验小学</w:t>
            </w:r>
          </w:p>
        </w:tc>
        <w:tc>
          <w:tcPr>
            <w:tcW w:w="7320" w:type="dxa"/>
            <w:gridSpan w:val="6"/>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color w:val="000000"/>
                <w:kern w:val="0"/>
                <w:szCs w:val="21"/>
              </w:rPr>
              <w:t>单位：万元</w:t>
            </w:r>
          </w:p>
        </w:tc>
      </w:tr>
      <w:tr>
        <w:tblPrEx>
          <w:tblCellMar>
            <w:top w:w="0" w:type="dxa"/>
            <w:left w:w="108" w:type="dxa"/>
            <w:bottom w:w="0" w:type="dxa"/>
            <w:right w:w="108" w:type="dxa"/>
          </w:tblCellMar>
        </w:tblPrEx>
        <w:trPr>
          <w:trHeight w:val="397" w:hRule="atLeast"/>
          <w:jc w:val="center"/>
        </w:trPr>
        <w:tc>
          <w:tcPr>
            <w:tcW w:w="73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预算数</w:t>
            </w:r>
          </w:p>
        </w:tc>
        <w:tc>
          <w:tcPr>
            <w:tcW w:w="73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决算数</w:t>
            </w:r>
          </w:p>
        </w:tc>
      </w:tr>
      <w:tr>
        <w:trPr>
          <w:trHeight w:val="397" w:hRule="atLeast"/>
          <w:jc w:val="center"/>
        </w:trPr>
        <w:tc>
          <w:tcPr>
            <w:tcW w:w="1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合计</w:t>
            </w:r>
          </w:p>
        </w:tc>
        <w:tc>
          <w:tcPr>
            <w:tcW w:w="1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因公出国（境）费</w:t>
            </w:r>
          </w:p>
        </w:tc>
        <w:tc>
          <w:tcPr>
            <w:tcW w:w="36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公务用车购置及运行费</w:t>
            </w:r>
          </w:p>
        </w:tc>
        <w:tc>
          <w:tcPr>
            <w:tcW w:w="1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公务</w:t>
            </w:r>
          </w:p>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接待费</w:t>
            </w:r>
          </w:p>
        </w:tc>
        <w:tc>
          <w:tcPr>
            <w:tcW w:w="1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合计</w:t>
            </w:r>
          </w:p>
        </w:tc>
        <w:tc>
          <w:tcPr>
            <w:tcW w:w="1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因公出国（境）费</w:t>
            </w:r>
          </w:p>
        </w:tc>
        <w:tc>
          <w:tcPr>
            <w:tcW w:w="36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公务用车购置及运行费</w:t>
            </w:r>
          </w:p>
        </w:tc>
        <w:tc>
          <w:tcPr>
            <w:tcW w:w="1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公务</w:t>
            </w:r>
          </w:p>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小计</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公务用车</w:t>
            </w:r>
            <w:r>
              <w:rPr>
                <w:rFonts w:hint="eastAsia" w:ascii="仿宋" w:hAnsi="仿宋" w:eastAsia="仿宋" w:cs="仿宋"/>
                <w:kern w:val="0"/>
                <w:szCs w:val="21"/>
              </w:rPr>
              <w:br w:type="textWrapping"/>
            </w:r>
            <w:r>
              <w:rPr>
                <w:rFonts w:hint="eastAsia" w:ascii="仿宋" w:hAnsi="仿宋" w:eastAsia="仿宋" w:cs="仿宋"/>
                <w:kern w:val="0"/>
                <w:szCs w:val="21"/>
              </w:rPr>
              <w:t>购置费</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公务用车</w:t>
            </w:r>
            <w:r>
              <w:rPr>
                <w:rFonts w:hint="eastAsia" w:ascii="仿宋" w:hAnsi="仿宋" w:eastAsia="仿宋" w:cs="仿宋"/>
                <w:kern w:val="0"/>
                <w:szCs w:val="21"/>
              </w:rPr>
              <w:br w:type="textWrapping"/>
            </w:r>
            <w:r>
              <w:rPr>
                <w:rFonts w:hint="eastAsia" w:ascii="仿宋" w:hAnsi="仿宋" w:eastAsia="仿宋" w:cs="仿宋"/>
                <w:kern w:val="0"/>
                <w:szCs w:val="21"/>
              </w:rPr>
              <w:t>运行费</w:t>
            </w: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小计</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公务用车</w:t>
            </w:r>
            <w:r>
              <w:rPr>
                <w:rFonts w:hint="eastAsia" w:ascii="仿宋" w:hAnsi="仿宋" w:eastAsia="仿宋" w:cs="仿宋"/>
                <w:kern w:val="0"/>
                <w:szCs w:val="21"/>
              </w:rPr>
              <w:br w:type="textWrapping"/>
            </w:r>
            <w:r>
              <w:rPr>
                <w:rFonts w:hint="eastAsia" w:ascii="仿宋" w:hAnsi="仿宋" w:eastAsia="仿宋" w:cs="仿宋"/>
                <w:kern w:val="0"/>
                <w:szCs w:val="21"/>
              </w:rPr>
              <w:t>购置费</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公务用车</w:t>
            </w:r>
            <w:r>
              <w:rPr>
                <w:rFonts w:hint="eastAsia" w:ascii="仿宋" w:hAnsi="仿宋" w:eastAsia="仿宋" w:cs="仿宋"/>
                <w:kern w:val="0"/>
                <w:szCs w:val="21"/>
              </w:rPr>
              <w:br w:type="textWrapping"/>
            </w:r>
            <w:r>
              <w:rPr>
                <w:rFonts w:hint="eastAsia" w:ascii="仿宋" w:hAnsi="仿宋" w:eastAsia="仿宋" w:cs="仿宋"/>
                <w:kern w:val="0"/>
                <w:szCs w:val="21"/>
              </w:rPr>
              <w:t>运行费</w:t>
            </w:r>
          </w:p>
        </w:tc>
        <w:tc>
          <w:tcPr>
            <w:tcW w:w="12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r>
      <w:tr>
        <w:tblPrEx>
          <w:tblCellMar>
            <w:top w:w="0" w:type="dxa"/>
            <w:left w:w="108" w:type="dxa"/>
            <w:bottom w:w="0" w:type="dxa"/>
            <w:right w:w="108" w:type="dxa"/>
          </w:tblCellMar>
        </w:tblPrEx>
        <w:trPr>
          <w:trHeight w:val="112"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lang w:val="en-US" w:eastAsia="zh-CN"/>
              </w:rPr>
            </w:pPr>
            <w:r>
              <w:rPr>
                <w:rFonts w:hint="eastAsia" w:ascii="仿宋" w:hAnsi="仿宋" w:eastAsia="仿宋" w:cs="仿宋"/>
                <w:kern w:val="0"/>
                <w:szCs w:val="21"/>
                <w:lang w:val="en-US" w:eastAsia="zh-CN"/>
              </w:rPr>
              <w:t/>
            </w:r>
            <w:r>
              <w:rPr>
                <w:rFonts w:hint="eastAsia" w:ascii="仿宋" w:hAnsi="仿宋" w:eastAsia="仿宋" w:cs="仿宋"/>
                <w:lang w:val="en-US" w:eastAsia="zh-CN"/>
              </w:rPr>
              <w:t>1</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lang w:val="en-US" w:eastAsia="zh-CN"/>
              </w:rPr>
            </w:pPr>
            <w:r>
              <w:rPr>
                <w:rFonts w:hint="eastAsia" w:ascii="仿宋" w:hAnsi="仿宋" w:eastAsia="仿宋" w:cs="仿宋"/>
                <w:lang w:val="en-US" w:eastAsia="zh-CN"/>
              </w:rPr>
              <w:t>2</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lang w:val="en-US" w:eastAsia="zh-CN"/>
              </w:rPr>
            </w:pPr>
            <w:r>
              <w:rPr>
                <w:rFonts w:hint="eastAsia" w:ascii="仿宋" w:hAnsi="仿宋" w:eastAsia="仿宋" w:cs="仿宋"/>
                <w:lang w:val="en-US" w:eastAsia="zh-CN"/>
              </w:rPr>
              <w:t>3</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lang w:val="en-US" w:eastAsia="zh-CN"/>
              </w:rPr>
            </w:pPr>
            <w:r>
              <w:rPr>
                <w:rFonts w:hint="eastAsia" w:ascii="仿宋" w:hAnsi="仿宋" w:eastAsia="仿宋" w:cs="仿宋"/>
                <w:lang w:val="en-US" w:eastAsia="zh-CN"/>
              </w:rPr>
              <w:t>4</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lang w:val="en-US" w:eastAsia="zh-CN"/>
              </w:rPr>
            </w:pPr>
            <w:r>
              <w:rPr>
                <w:rFonts w:hint="eastAsia" w:ascii="仿宋" w:hAnsi="仿宋" w:eastAsia="仿宋" w:cs="仿宋"/>
                <w:lang w:val="en-US" w:eastAsia="zh-CN"/>
              </w:rPr>
              <w:t>5</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lang w:val="en-US" w:eastAsia="zh-CN"/>
              </w:rPr>
            </w:pPr>
            <w:r>
              <w:rPr>
                <w:rFonts w:hint="eastAsia" w:ascii="仿宋" w:hAnsi="仿宋" w:eastAsia="仿宋" w:cs="仿宋"/>
                <w:lang w:val="en-US" w:eastAsia="zh-CN"/>
              </w:rPr>
              <w:t>6</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lang w:val="en-US" w:eastAsia="zh-CN"/>
              </w:rPr>
            </w:pPr>
            <w:r>
              <w:rPr>
                <w:rFonts w:hint="eastAsia" w:ascii="仿宋" w:hAnsi="仿宋" w:eastAsia="仿宋" w:cs="仿宋"/>
                <w:lang w:val="en-US" w:eastAsia="zh-CN"/>
              </w:rPr>
              <w:t>7</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lang w:val="en-US" w:eastAsia="zh-CN"/>
              </w:rPr>
            </w:pPr>
            <w:r>
              <w:rPr>
                <w:rFonts w:hint="eastAsia" w:ascii="仿宋" w:hAnsi="仿宋" w:eastAsia="仿宋" w:cs="仿宋"/>
                <w:lang w:val="en-US" w:eastAsia="zh-CN"/>
              </w:rPr>
              <w:t>8</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lang w:val="en-US" w:eastAsia="zh-CN"/>
              </w:rPr>
            </w:pPr>
            <w:r>
              <w:rPr>
                <w:rFonts w:hint="eastAsia" w:ascii="仿宋" w:hAnsi="仿宋" w:eastAsia="仿宋" w:cs="仿宋"/>
                <w:lang w:val="en-US" w:eastAsia="zh-CN"/>
              </w:rPr>
              <w:t>9</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default" w:ascii="仿宋" w:hAnsi="仿宋" w:eastAsia="仿宋" w:cs="仿宋"/>
                <w:lang w:val="en-US" w:eastAsia="zh-CN"/>
              </w:rPr>
            </w:pPr>
            <w:r>
              <w:rPr>
                <w:rFonts w:hint="eastAsia" w:ascii="仿宋" w:hAnsi="仿宋" w:eastAsia="仿宋" w:cs="仿宋"/>
                <w:lang w:val="en-US" w:eastAsia="zh-CN"/>
              </w:rPr>
              <w:t>10</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default" w:ascii="仿宋" w:hAnsi="仿宋" w:eastAsia="仿宋" w:cs="仿宋"/>
                <w:lang w:val="en-US" w:eastAsia="zh-CN"/>
              </w:rPr>
            </w:pPr>
            <w:r>
              <w:rPr>
                <w:rFonts w:hint="eastAsia" w:ascii="仿宋" w:hAnsi="仿宋" w:eastAsia="仿宋" w:cs="仿宋"/>
                <w:lang w:val="en-US" w:eastAsia="zh-CN"/>
              </w:rPr>
              <w:t>11</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default" w:ascii="仿宋" w:hAnsi="仿宋" w:eastAsia="仿宋" w:cs="仿宋"/>
                <w:lang w:val="en-US" w:eastAsia="zh-CN"/>
              </w:rPr>
            </w:pPr>
            <w:r>
              <w:rPr>
                <w:rFonts w:hint="eastAsia" w:ascii="仿宋" w:hAnsi="仿宋" w:eastAsia="仿宋" w:cs="仿宋"/>
                <w:lang w:val="en-US" w:eastAsia="zh-CN"/>
              </w:rPr>
              <w:t>12</w:t>
            </w:r>
          </w:p>
        </w:tc>
      </w:tr>
      <w:tr>
        <w:tblPrEx>
          <w:tblCellMar>
            <w:top w:w="0" w:type="dxa"/>
            <w:left w:w="108" w:type="dxa"/>
            <w:bottom w:w="0" w:type="dxa"/>
            <w:right w:w="108" w:type="dxa"/>
          </w:tblCellMar>
        </w:tblPrEx>
        <w:trPr>
          <w:trHeight w:val="397" w:hRule="atLeast"/>
          <w:jc w:val="center"/>
        </w:trPr>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
            </w: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rPr>
              <w:t/>
            </w:r>
          </w:p>
        </w:tc>
      </w:tr>
    </w:tbl>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kern w:val="0"/>
          <w:szCs w:val="21"/>
        </w:rPr>
        <w:t/>
      </w:r>
      <w:r>
        <w:rPr>
          <w:rFonts w:ascii="仿宋" w:hAnsi="仿宋" w:cs="仿宋" w:eastAsia="仿宋"/>
        </w:rPr>
        <w:t>衡阳市实验小学</w:t>
      </w:r>
      <w:r>
        <w:rPr>
          <w:rFonts w:hint="eastAsia" w:ascii="仿宋" w:hAnsi="仿宋" w:eastAsia="仿宋" w:cs="仿宋"/>
          <w:kern w:val="0"/>
          <w:sz w:val="21"/>
          <w:szCs w:val="21"/>
          <w:lang w:val="en-US" w:eastAsia="zh-CN"/>
        </w:rPr>
        <w:t>没有</w:t>
      </w:r>
      <w:r>
        <w:rPr>
          <w:rFonts w:hint="eastAsia" w:ascii="仿宋" w:hAnsi="仿宋" w:eastAsia="仿宋" w:cs="仿宋"/>
          <w:kern w:val="0"/>
          <w:sz w:val="21"/>
          <w:szCs w:val="21"/>
        </w:rPr>
        <w:t>一般公共预算财政拨款“三公”经费支出，故本表无数据。</w:t>
      </w:r>
      <w:r>
        <w:rPr>
          <w:rFonts w:hint="eastAsia" w:ascii="仿宋" w:hAnsi="仿宋" w:eastAsia="仿宋" w:cs="仿宋"/>
          <w:kern w:val="0"/>
          <w:szCs w:val="21"/>
        </w:rPr>
        <w:t/>
      </w:r>
    </w:p>
    <w:p>
      <w:pPr>
        <w:widowControl/>
        <w:jc w:val="left"/>
        <w:rPr>
          <w:rFonts w:hint="eastAsia" w:ascii="仿宋" w:hAnsi="仿宋" w:eastAsia="仿宋" w:cs="仿宋"/>
          <w:kern w:val="0"/>
          <w:szCs w:val="21"/>
        </w:rPr>
        <w:sectPr>
          <w:pgSz w:w="16838" w:h="11906" w:orient="landscape"/>
          <w:pgMar w:top="1803" w:right="1440" w:bottom="1803" w:left="1440" w:header="851" w:footer="992" w:gutter="0"/>
          <w:pgNumType w:fmt="numberInDash"/>
          <w:cols w:space="0" w:num="1"/>
          <w:rtlGutter w:val="0"/>
          <w:docGrid w:type="lines" w:linePitch="319" w:charSpace="0"/>
        </w:sectPr>
      </w:pP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63"/>
        <w:gridCol w:w="4063"/>
        <w:gridCol w:w="1765"/>
        <w:gridCol w:w="1680"/>
        <w:gridCol w:w="1470"/>
        <w:gridCol w:w="1320"/>
        <w:gridCol w:w="1240"/>
        <w:gridCol w:w="13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4440" w:type="dxa"/>
            <w:gridSpan w:val="8"/>
            <w:tcBorders>
              <w:top w:val="nil"/>
              <w:left w:val="nil"/>
              <w:bottom w:val="nil"/>
              <w:right w:val="nil"/>
            </w:tcBorders>
            <w:shd w:val="clear" w:color="auto" w:fill="auto"/>
            <w:vAlign w:val="center"/>
          </w:tcPr>
          <w:p>
            <w:pPr>
              <w:widowControl/>
              <w:jc w:val="center"/>
              <w:rPr>
                <w:rFonts w:hint="eastAsia" w:ascii="仿宋" w:hAnsi="仿宋" w:eastAsia="仿宋" w:cs="仿宋"/>
                <w:b/>
                <w:kern w:val="0"/>
                <w:szCs w:val="21"/>
              </w:rPr>
            </w:pPr>
            <w:r>
              <w:rPr>
                <w:rFonts w:hint="eastAsia" w:ascii="仿宋" w:hAnsi="仿宋" w:eastAsia="仿宋" w:cs="仿宋"/>
                <w:b/>
                <w:bCs/>
                <w:kern w:val="0"/>
                <w:sz w:val="36"/>
                <w:szCs w:val="36"/>
              </w:rPr>
              <w:t>政府性基金预算财政拨款收入支出决算表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4440" w:type="dxa"/>
            <w:gridSpan w:val="8"/>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kern w:val="0"/>
                <w:szCs w:val="21"/>
              </w:rPr>
            </w:pPr>
            <w:r>
              <w:rPr>
                <w:rFonts w:hint="eastAsia" w:ascii="仿宋" w:hAnsi="仿宋" w:eastAsia="仿宋" w:cs="仿宋"/>
                <w:color w:val="000000"/>
                <w:kern w:val="0"/>
                <w:szCs w:val="21"/>
              </w:rPr>
              <w:t>公开08表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 w:hRule="atLeast"/>
          <w:jc w:val="center"/>
        </w:trPr>
        <w:tc>
          <w:tcPr>
            <w:tcW w:w="13101" w:type="dxa"/>
            <w:gridSpan w:val="7"/>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kern w:val="0"/>
                <w:szCs w:val="21"/>
              </w:rPr>
            </w:pPr>
            <w:r>
              <w:rPr>
                <w:rFonts w:hint="eastAsia" w:ascii="仿宋" w:hAnsi="仿宋" w:eastAsia="仿宋" w:cs="仿宋"/>
                <w:color w:val="000000"/>
                <w:kern w:val="0"/>
                <w:szCs w:val="21"/>
                <w:lang w:eastAsia="zh-CN"/>
              </w:rPr>
              <w:t>部门</w:t>
            </w:r>
            <w:r>
              <w:rPr>
                <w:rFonts w:hint="eastAsia" w:ascii="仿宋" w:hAnsi="仿宋" w:eastAsia="仿宋" w:cs="仿宋"/>
                <w:color w:val="000000"/>
                <w:kern w:val="0"/>
                <w:szCs w:val="21"/>
              </w:rPr>
              <w:t>：</w:t>
            </w:r>
            <w:r>
              <w:rPr>
                <w:rFonts w:ascii="仿宋" w:hAnsi="仿宋" w:cs="仿宋" w:eastAsia="仿宋"/>
                <w:color w:val="000000"/>
              </w:rPr>
              <w:t>衡阳市实验小学</w:t>
            </w:r>
          </w:p>
        </w:tc>
        <w:tc>
          <w:tcPr>
            <w:tcW w:w="1339" w:type="dxa"/>
            <w:tcBorders>
              <w:top w:val="nil"/>
              <w:left w:val="nil"/>
              <w:bottom w:val="single" w:color="auto"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b/>
                <w:kern w:val="0"/>
                <w:szCs w:val="21"/>
              </w:rPr>
            </w:pPr>
            <w:r>
              <w:rPr>
                <w:rFonts w:hint="eastAsia" w:ascii="仿宋" w:hAnsi="仿宋" w:eastAsia="仿宋" w:cs="仿宋"/>
                <w:color w:val="000000"/>
                <w:kern w:val="0"/>
                <w:szCs w:val="21"/>
              </w:rPr>
              <w:t>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6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    目</w:t>
            </w:r>
          </w:p>
        </w:tc>
        <w:tc>
          <w:tcPr>
            <w:tcW w:w="1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年初结转和结余</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本年收入</w:t>
            </w:r>
          </w:p>
        </w:tc>
        <w:tc>
          <w:tcPr>
            <w:tcW w:w="40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本年支出</w:t>
            </w:r>
          </w:p>
        </w:tc>
        <w:tc>
          <w:tcPr>
            <w:tcW w:w="13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年末结转</w:t>
            </w:r>
          </w:p>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功能分类</w:t>
            </w:r>
          </w:p>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科目编码</w:t>
            </w:r>
          </w:p>
        </w:tc>
        <w:tc>
          <w:tcPr>
            <w:tcW w:w="40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科目名称</w:t>
            </w:r>
          </w:p>
        </w:tc>
        <w:tc>
          <w:tcPr>
            <w:tcW w:w="17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p>
        </w:tc>
        <w:tc>
          <w:tcPr>
            <w:tcW w:w="14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小计</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基本支出</w:t>
            </w:r>
          </w:p>
        </w:tc>
        <w:tc>
          <w:tcPr>
            <w:tcW w:w="12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项目支出</w:t>
            </w:r>
          </w:p>
        </w:tc>
        <w:tc>
          <w:tcPr>
            <w:tcW w:w="13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color w:val="000000"/>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5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40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7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2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3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5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406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76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2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c>
          <w:tcPr>
            <w:tcW w:w="133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0" w:hRule="atLeast"/>
          <w:jc w:val="center"/>
        </w:trPr>
        <w:tc>
          <w:tcPr>
            <w:tcW w:w="56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栏次</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2</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3</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4</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5</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jc w:val="center"/>
        </w:trPr>
        <w:tc>
          <w:tcPr>
            <w:tcW w:w="56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Cs w:val="21"/>
              </w:rPr>
            </w:pPr>
            <w:r>
              <w:rPr>
                <w:rFonts w:hint="eastAsia" w:ascii="仿宋" w:hAnsi="仿宋" w:eastAsia="仿宋" w:cs="仿宋"/>
                <w:kern w:val="0"/>
                <w:szCs w:val="21"/>
              </w:rPr>
              <w:t/>
            </w:r>
            <w:r>
              <w:rPr>
                <w:rFonts w:ascii="仿宋" w:hAnsi="仿宋" w:cs="仿宋" w:eastAsia="仿宋"/>
              </w:rPr>
              <w:t>合计</w:t>
            </w:r>
          </w:p>
        </w:tc>
        <w:tc>
          <w:tcPr>
            <w:tcW w:w="1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kern w:val="0"/>
                <w:szCs w:val="21"/>
              </w:rPr>
              <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kern w:val="0"/>
                <w:szCs w:val="21"/>
              </w:rPr>
              <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kern w:val="0"/>
                <w:szCs w:val="21"/>
              </w:rPr>
              <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kern w:val="0"/>
                <w:szCs w:val="21"/>
              </w:rPr>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kern w:val="0"/>
                <w:szCs w:val="21"/>
              </w:rPr>
              <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Cs w:val="21"/>
              </w:rPr>
            </w:pPr>
            <w:r>
              <w:rPr>
                <w:rFonts w:hint="eastAsia" w:ascii="仿宋" w:hAnsi="仿宋" w:eastAsia="仿宋" w:cs="仿宋"/>
                <w:kern w:val="0"/>
                <w:szCs w:val="21"/>
              </w:rPr>
              <w:t/>
            </w:r>
          </w:p>
        </w:tc>
      </w:tr>
    </w:tbl>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Cs w:val="21"/>
        </w:rPr>
      </w:pPr>
      <w:r>
        <w:rPr>
          <w:rFonts w:hint="eastAsia" w:ascii="仿宋" w:hAnsi="仿宋" w:eastAsia="仿宋" w:cs="仿宋"/>
          <w:kern w:val="0"/>
          <w:szCs w:val="21"/>
        </w:rPr>
        <w:t>注：本表反映部门本年度政府性基金预算财政拨款收入、支出及结转和结余情况</w:t>
      </w:r>
    </w:p>
    <w:p>
      <w:pPr>
        <w:widowControl/>
        <w:jc w:val="left"/>
        <w:rPr>
          <w:rFonts w:ascii="黑体" w:hAnsi="黑体" w:eastAsia="黑体"/>
          <w:szCs w:val="21"/>
        </w:rPr>
      </w:pPr>
      <w:r>
        <w:rPr>
          <w:rFonts w:ascii="黑体" w:hAnsi="黑体" w:eastAsia="黑体"/>
          <w:szCs w:val="21"/>
        </w:rPr>
        <w:br w:type="page"/>
      </w:r>
    </w:p>
    <w:tbl>
      <w:tblPr>
        <w:tblStyle w:val="6"/>
        <w:tblW w:w="14190" w:type="dxa"/>
        <w:tblInd w:w="91" w:type="dxa"/>
        <w:tblLayout w:type="fixed"/>
        <w:tblCellMar>
          <w:top w:w="0" w:type="dxa"/>
          <w:left w:w="108" w:type="dxa"/>
          <w:bottom w:w="0" w:type="dxa"/>
          <w:right w:w="108" w:type="dxa"/>
        </w:tblCellMar>
      </w:tblPr>
      <w:tblGrid>
        <w:gridCol w:w="1535"/>
        <w:gridCol w:w="4780"/>
        <w:gridCol w:w="2660"/>
        <w:gridCol w:w="2540"/>
        <w:gridCol w:w="2675"/>
      </w:tblGrid>
      <w:tr>
        <w:trPr>
          <w:trHeight w:val="720" w:hRule="atLeast"/>
        </w:trPr>
        <w:tc>
          <w:tcPr>
            <w:tcW w:w="14190" w:type="dxa"/>
            <w:gridSpan w:val="5"/>
            <w:tcBorders>
              <w:top w:val="nil"/>
              <w:left w:val="nil"/>
              <w:bottom w:val="nil"/>
              <w:right w:val="nil"/>
            </w:tcBorders>
            <w:shd w:val="clear" w:color="000000" w:fill="FFFFFF"/>
            <w:vAlign w:val="center"/>
          </w:tcPr>
          <w:p>
            <w:pPr>
              <w:widowControl/>
              <w:jc w:val="center"/>
              <w:rPr>
                <w:rFonts w:hint="eastAsia" w:ascii="仿宋" w:hAnsi="仿宋" w:eastAsia="仿宋" w:cs="仿宋"/>
                <w:kern w:val="0"/>
                <w:sz w:val="32"/>
                <w:szCs w:val="32"/>
              </w:rPr>
            </w:pPr>
            <w:r>
              <w:rPr>
                <w:rFonts w:hint="eastAsia" w:ascii="仿宋" w:hAnsi="仿宋" w:eastAsia="仿宋" w:cs="仿宋"/>
                <w:b/>
                <w:bCs/>
                <w:kern w:val="0"/>
                <w:sz w:val="36"/>
                <w:szCs w:val="36"/>
              </w:rPr>
              <w:t>国有资本经营预算财政拨款支出决算表</w:t>
            </w:r>
          </w:p>
        </w:tc>
      </w:tr>
      <w:tr>
        <w:tblPrEx>
          <w:tblCellMar>
            <w:top w:w="0" w:type="dxa"/>
            <w:left w:w="108" w:type="dxa"/>
            <w:bottom w:w="0" w:type="dxa"/>
            <w:right w:w="108" w:type="dxa"/>
          </w:tblCellMar>
        </w:tblPrEx>
        <w:trPr>
          <w:trHeight w:val="285" w:hRule="atLeast"/>
        </w:trPr>
        <w:tc>
          <w:tcPr>
            <w:tcW w:w="14190" w:type="dxa"/>
            <w:gridSpan w:val="5"/>
            <w:tcBorders>
              <w:top w:val="nil"/>
              <w:left w:val="nil"/>
              <w:bottom w:val="nil"/>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公开09表</w:t>
            </w:r>
          </w:p>
        </w:tc>
      </w:tr>
      <w:tr>
        <w:tblPrEx>
          <w:tblCellMar>
            <w:top w:w="0" w:type="dxa"/>
            <w:left w:w="108" w:type="dxa"/>
            <w:bottom w:w="0" w:type="dxa"/>
            <w:right w:w="108" w:type="dxa"/>
          </w:tblCellMar>
        </w:tblPrEx>
        <w:trPr>
          <w:trHeight w:val="285" w:hRule="atLeast"/>
        </w:trPr>
        <w:tc>
          <w:tcPr>
            <w:tcW w:w="6315" w:type="dxa"/>
            <w:gridSpan w:val="2"/>
            <w:tcBorders>
              <w:top w:val="nil"/>
              <w:left w:val="nil"/>
              <w:bottom w:val="single" w:color="auto" w:sz="4" w:space="0"/>
              <w:right w:val="nil"/>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0"/>
                <w:szCs w:val="20"/>
              </w:rPr>
            </w:pP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w:t>
            </w:r>
            <w:r>
              <w:rPr>
                <w:rFonts w:ascii="仿宋" w:hAnsi="仿宋" w:cs="仿宋" w:eastAsia="仿宋"/>
                <w:color w:val="000000"/>
                <w:sz w:val="20"/>
              </w:rPr>
              <w:t>衡阳市实验小学</w:t>
            </w:r>
          </w:p>
        </w:tc>
        <w:tc>
          <w:tcPr>
            <w:tcW w:w="7875" w:type="dxa"/>
            <w:gridSpan w:val="3"/>
            <w:tcBorders>
              <w:top w:val="nil"/>
              <w:left w:val="nil"/>
              <w:bottom w:val="single" w:color="auto" w:sz="4" w:space="0"/>
              <w:right w:val="nil"/>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63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项 </w:t>
            </w:r>
            <w:r>
              <w:rPr>
                <w:rFonts w:hint="eastAsia" w:ascii="仿宋" w:hAnsi="仿宋" w:eastAsia="仿宋" w:cs="仿宋"/>
                <w:color w:val="000000"/>
                <w:kern w:val="0"/>
                <w:sz w:val="22"/>
              </w:rPr>
              <w:t xml:space="preserve">   </w:t>
            </w:r>
            <w:r>
              <w:rPr>
                <w:rFonts w:hint="eastAsia" w:ascii="仿宋" w:hAnsi="仿宋" w:eastAsia="仿宋" w:cs="仿宋"/>
                <w:kern w:val="0"/>
                <w:sz w:val="24"/>
                <w:szCs w:val="24"/>
              </w:rPr>
              <w:t>目</w:t>
            </w:r>
          </w:p>
        </w:tc>
        <w:tc>
          <w:tcPr>
            <w:tcW w:w="78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本年支出</w:t>
            </w:r>
          </w:p>
        </w:tc>
      </w:tr>
      <w:tr>
        <w:tblPrEx>
          <w:tblCellMar>
            <w:top w:w="0" w:type="dxa"/>
            <w:left w:w="108" w:type="dxa"/>
            <w:bottom w:w="0" w:type="dxa"/>
            <w:right w:w="108" w:type="dxa"/>
          </w:tblCellMar>
        </w:tblPrEx>
        <w:trPr>
          <w:trHeight w:val="402" w:hRule="atLeast"/>
        </w:trPr>
        <w:tc>
          <w:tcPr>
            <w:tcW w:w="15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功能分类</w:t>
            </w:r>
          </w:p>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科目编码</w:t>
            </w:r>
          </w:p>
        </w:tc>
        <w:tc>
          <w:tcPr>
            <w:tcW w:w="4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科目名称</w:t>
            </w:r>
          </w:p>
        </w:tc>
        <w:tc>
          <w:tcPr>
            <w:tcW w:w="2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2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 xml:space="preserve">基本支出  </w:t>
            </w:r>
          </w:p>
        </w:tc>
        <w:tc>
          <w:tcPr>
            <w:tcW w:w="2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项目支出</w:t>
            </w:r>
          </w:p>
        </w:tc>
      </w:tr>
      <w:tr>
        <w:tblPrEx>
          <w:tblCellMar>
            <w:top w:w="0" w:type="dxa"/>
            <w:left w:w="108" w:type="dxa"/>
            <w:bottom w:w="0" w:type="dxa"/>
            <w:right w:w="108" w:type="dxa"/>
          </w:tblCellMar>
        </w:tblPrEx>
        <w:trPr>
          <w:trHeight w:val="402" w:hRule="atLeast"/>
        </w:trPr>
        <w:tc>
          <w:tcPr>
            <w:tcW w:w="153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47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26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2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2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312" w:hRule="atLeast"/>
        </w:trPr>
        <w:tc>
          <w:tcPr>
            <w:tcW w:w="153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47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26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25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c>
          <w:tcPr>
            <w:tcW w:w="2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402" w:hRule="atLeast"/>
        </w:trPr>
        <w:tc>
          <w:tcPr>
            <w:tcW w:w="63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栏次</w:t>
            </w:r>
          </w:p>
        </w:tc>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3</w:t>
            </w:r>
          </w:p>
        </w:tc>
      </w:tr>
      <w:tr>
        <w:tblPrEx>
          <w:tblCellMar>
            <w:top w:w="0" w:type="dxa"/>
            <w:left w:w="108" w:type="dxa"/>
            <w:bottom w:w="0" w:type="dxa"/>
            <w:right w:w="108" w:type="dxa"/>
          </w:tblCellMar>
        </w:tblPrEx>
        <w:trPr>
          <w:trHeight w:val="148" w:hRule="atLeast"/>
        </w:trPr>
        <w:tc>
          <w:tcPr>
            <w:tcW w:w="63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kern w:val="0"/>
                <w:sz w:val="24"/>
                <w:szCs w:val="24"/>
              </w:rPr>
            </w:pPr>
            <w:r>
              <w:rPr>
                <w:rFonts w:hint="eastAsia" w:ascii="仿宋" w:hAnsi="仿宋" w:eastAsia="仿宋" w:cs="仿宋"/>
                <w:kern w:val="0"/>
                <w:szCs w:val="21"/>
              </w:rPr>
              <w:t/>
            </w:r>
            <w:r>
              <w:rPr>
                <w:rFonts w:hint="eastAsia" w:ascii="仿宋" w:hAnsi="仿宋" w:eastAsia="仿宋" w:cs="仿宋"/>
                <w:kern w:val="0"/>
                <w:sz w:val="24"/>
                <w:szCs w:val="24"/>
              </w:rPr>
              <w:t>合计</w:t>
            </w:r>
          </w:p>
        </w:tc>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kern w:val="0"/>
                <w:sz w:val="24"/>
                <w:szCs w:val="24"/>
              </w:rPr>
            </w:pPr>
            <w:r>
              <w:rPr>
                <w:rFonts w:hint="eastAsia" w:ascii="仿宋" w:hAnsi="仿宋" w:eastAsia="仿宋" w:cs="仿宋"/>
              </w:rPr>
              <w:t/>
            </w:r>
          </w:p>
        </w:tc>
      </w:tr>
      <w:tr>
        <w:tblPrEx>
          <w:tblCellMar>
            <w:top w:w="0" w:type="dxa"/>
            <w:left w:w="108" w:type="dxa"/>
            <w:bottom w:w="0" w:type="dxa"/>
            <w:right w:w="108" w:type="dxa"/>
          </w:tblCellMar>
        </w:tblPrEx>
        <w:trPr>
          <w:trHeight w:val="309" w:hRule="atLeast"/>
        </w:trPr>
        <w:tc>
          <w:tcPr>
            <w:tcW w:w="14190" w:type="dxa"/>
            <w:gridSpan w:val="5"/>
            <w:tcBorders>
              <w:top w:val="single" w:color="auto"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注：本表反映部门本年度国有资本经营预算财政拨款支出情况。</w:t>
            </w:r>
          </w:p>
          <w:p>
            <w:pPr>
              <w:keepNext w:val="0"/>
              <w:keepLines w:val="0"/>
              <w:pageBreakBefore w:val="0"/>
              <w:widowControl/>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kern w:val="0"/>
                <w:sz w:val="24"/>
                <w:szCs w:val="24"/>
              </w:rPr>
            </w:pPr>
            <w:r>
              <w:rPr>
                <w:rFonts w:hint="eastAsia" w:ascii="仿宋" w:hAnsi="仿宋" w:eastAsia="仿宋" w:cs="仿宋"/>
                <w:kern w:val="0"/>
                <w:szCs w:val="21"/>
              </w:rPr>
              <w:t/>
            </w:r>
            <w:r>
              <w:rPr>
                <w:rFonts w:ascii="仿宋" w:hAnsi="仿宋" w:cs="仿宋" w:eastAsia="仿宋"/>
              </w:rPr>
              <w:t>衡阳市实验小学</w:t>
            </w:r>
            <w:r>
              <w:rPr>
                <w:rFonts w:hint="eastAsia" w:ascii="仿宋" w:hAnsi="仿宋" w:eastAsia="仿宋" w:cs="仿宋"/>
                <w:kern w:val="0"/>
                <w:sz w:val="21"/>
                <w:szCs w:val="21"/>
                <w:lang w:val="en-US" w:eastAsia="zh-CN"/>
              </w:rPr>
              <w:t>没有</w:t>
            </w:r>
            <w:r>
              <w:rPr>
                <w:rFonts w:hint="eastAsia" w:ascii="仿宋" w:hAnsi="仿宋" w:eastAsia="仿宋" w:cs="仿宋"/>
                <w:kern w:val="0"/>
                <w:sz w:val="21"/>
                <w:szCs w:val="21"/>
              </w:rPr>
              <w:t>国有资本经营预算财政拨款支出，故本表无数据。</w:t>
            </w:r>
            <w:r>
              <w:rPr>
                <w:rFonts w:hint="eastAsia" w:ascii="仿宋" w:hAnsi="仿宋" w:eastAsia="仿宋" w:cs="仿宋"/>
                <w:kern w:val="0"/>
                <w:szCs w:val="21"/>
              </w:rPr>
              <w:t/>
            </w:r>
          </w:p>
        </w:tc>
      </w:tr>
    </w:tbl>
    <w:p>
      <w:pPr>
        <w:pStyle w:val="9"/>
        <w:rPr>
          <w:sz w:val="72"/>
          <w:szCs w:val="72"/>
        </w:rPr>
        <w:sectPr>
          <w:pgSz w:w="16838" w:h="11906" w:orient="landscape"/>
          <w:pgMar w:top="1803" w:right="1440" w:bottom="1803" w:left="1440" w:header="851" w:footer="992" w:gutter="0"/>
          <w:pgNumType w:fmt="numberInDash"/>
          <w:cols w:space="0" w:num="1"/>
          <w:rtlGutter w:val="0"/>
          <w:docGrid w:type="lines" w:linePitch="319" w:charSpace="0"/>
        </w:sect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rFonts w:hint="eastAsia" w:ascii="仿宋" w:hAnsi="仿宋" w:eastAsia="仿宋" w:cs="仿宋"/>
          <w:b/>
          <w:bCs/>
          <w:sz w:val="72"/>
          <w:szCs w:val="72"/>
        </w:rPr>
      </w:pPr>
    </w:p>
    <w:p>
      <w:pPr>
        <w:pStyle w:val="9"/>
        <w:jc w:val="center"/>
        <w:rPr>
          <w:rFonts w:hint="eastAsia" w:ascii="仿宋" w:hAnsi="仿宋" w:eastAsia="仿宋" w:cs="仿宋"/>
          <w:b/>
          <w:bCs/>
          <w:sz w:val="52"/>
          <w:szCs w:val="52"/>
        </w:rPr>
      </w:pPr>
      <w:r>
        <w:rPr>
          <w:rFonts w:hint="eastAsia" w:ascii="仿宋" w:hAnsi="仿宋" w:eastAsia="仿宋" w:cs="仿宋"/>
          <w:b/>
          <w:bCs/>
          <w:sz w:val="52"/>
          <w:szCs w:val="52"/>
        </w:rPr>
        <w:t>第三部分</w:t>
      </w:r>
    </w:p>
    <w:p>
      <w:pPr>
        <w:pStyle w:val="9"/>
        <w:jc w:val="center"/>
        <w:rPr>
          <w:rFonts w:hint="eastAsia" w:ascii="仿宋" w:hAnsi="仿宋" w:eastAsia="仿宋" w:cs="仿宋"/>
          <w:b/>
          <w:bCs/>
          <w:sz w:val="52"/>
          <w:szCs w:val="52"/>
        </w:rPr>
      </w:pPr>
    </w:p>
    <w:p>
      <w:pPr>
        <w:pStyle w:val="9"/>
        <w:jc w:val="center"/>
        <w:rPr>
          <w:rFonts w:hint="eastAsia" w:ascii="仿宋" w:hAnsi="仿宋" w:eastAsia="仿宋" w:cs="仿宋"/>
          <w:b/>
          <w:bCs/>
          <w:sz w:val="52"/>
          <w:szCs w:val="52"/>
        </w:rPr>
      </w:pPr>
      <w:r>
        <w:rPr>
          <w:rFonts w:hint="eastAsia" w:ascii="仿宋" w:hAnsi="仿宋" w:eastAsia="仿宋" w:cs="仿宋"/>
          <w:b/>
          <w:bCs/>
          <w:sz w:val="52"/>
          <w:szCs w:val="52"/>
        </w:rPr>
        <w:t>2020年度</w:t>
      </w:r>
      <w:r>
        <w:rPr>
          <w:rFonts w:hint="eastAsia" w:ascii="仿宋" w:hAnsi="仿宋" w:eastAsia="仿宋" w:cs="仿宋"/>
          <w:b/>
          <w:bCs/>
          <w:sz w:val="52"/>
          <w:szCs w:val="52"/>
          <w:lang w:eastAsia="zh-CN"/>
        </w:rPr>
        <w:t>部门</w:t>
      </w:r>
      <w:r>
        <w:rPr>
          <w:rFonts w:hint="eastAsia" w:ascii="仿宋" w:hAnsi="仿宋" w:eastAsia="仿宋" w:cs="仿宋"/>
          <w:b/>
          <w:bCs/>
          <w:sz w:val="52"/>
          <w:szCs w:val="52"/>
        </w:rPr>
        <w:t>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eastAsia="zh-CN"/>
        </w:rPr>
      </w:pPr>
      <w:r>
        <w:rPr>
          <w:rFonts w:hint="eastAsia" w:ascii="仿宋" w:hAnsi="仿宋" w:eastAsia="仿宋" w:cs="仿宋"/>
          <w:b/>
          <w:bCs/>
          <w:lang w:val="en-US" w:eastAsia="zh-CN"/>
        </w:rPr>
        <w:t/>
      </w:r>
      <w:r>
        <w:rPr>
          <w:rFonts w:ascii="仿宋" w:hAnsi="仿宋" w:cs="仿宋" w:eastAsia="仿宋"/>
          <w:b w:val="true"/>
        </w:rPr>
        <w:t>一、收入支出决算总体情况说明</w:t>
      </w:r>
      <w:r>
        <w:rPr>
          <w:rFonts w:ascii="仿宋" w:hAnsi="仿宋" w:cs="仿宋" w:eastAsia="仿宋"/>
          <w:b w:val="true"/>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eastAsia="zh-CN"/>
        </w:rPr>
      </w:pPr>
      <w:r>
        <w:rPr>
          <w:rFonts w:hint="eastAsia" w:ascii="仿宋" w:hAnsi="仿宋" w:eastAsia="仿宋" w:cs="仿宋"/>
          <w:lang w:val="en-US" w:eastAsia="zh-CN"/>
        </w:rPr>
        <w:t/>
      </w:r>
      <w:r>
        <w:rPr>
          <w:rFonts w:ascii="仿宋" w:hAnsi="仿宋" w:cs="仿宋" w:eastAsia="仿宋"/>
        </w:rPr>
        <w:t>2020年度收入、支出总计2,807.26万元，与上年相比增加849.83万元，增长43.42%。主要是因为2020年学生人数和教师人数增加，财政增加相对应的拨款，同时增加相对应的支出。</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二、收入决算情况说明</w:t>
      </w:r>
      <w:r>
        <w:rPr>
          <w:rFonts w:ascii="仿宋" w:hAnsi="仿宋" w:cs="仿宋" w:eastAsia="仿宋"/>
          <w:b w:val="true"/>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本年收入合计2,806.99万元，其中：财政拨款收入2,806.99万元，占100%；上级补助收入0万元，占0%；事业收入0万元，占0%；经营收入0万元，占0%；附属单位上缴收入0万元，占0%；其他收入0万元，占0%。</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0" w:leftChars="0" w:right="420"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0"/>
                    <a:stretch>
                      <a:fillRect/>
                    </a:stretch>
                  </pic:blipFill>
                  <pic:spPr>
                    <a:xfrm>
                      <a:off x="0" y="0"/>
                      <a:ext cx="6134100" cy="3429000"/>
                    </a:xfrm>
                    <a:prstGeom prst="rect">
                      <a:avLst/>
                    </a:prstGeom>
                  </pic:spPr>
                </pic:pic>
              </a:graphicData>
            </a:graphic>
          </wp:inline>
        </w:drawing>
      </w:r>
      <w:bookmarkStart w:id="3" w:name="_GoBack"/>
      <w:bookmarkEnd w:id="3"/>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三、支出决算情况说明</w:t>
      </w:r>
      <w:r>
        <w:rPr>
          <w:rFonts w:ascii="仿宋" w:hAnsi="仿宋" w:cs="仿宋" w:eastAsia="仿宋"/>
          <w:b w:val="true"/>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本年支出合计2,183.72万元，其中：基本支出2,122.81万元，占97.21%；项目支出60.92万元，占2.79%；上缴上级支出0万元，占0%；经营支出0万元，占0%；对附属单位补助支出0万元，占0%。</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right="420"/>
        <w:jc w:val="center"/>
        <w:textAlignment w:val="auto"/>
        <w:rPr>
          <w:rFonts w:hint="eastAsia" w:ascii="仿宋" w:hAnsi="仿宋" w:eastAsia="仿宋" w:cs="仿宋"/>
        </w:rPr>
      </w:pPr>
      <w:r>
        <w:rPr>
          <w:rFonts w:hint="eastAsia" w:ascii="仿宋" w:hAnsi="仿宋" w:eastAsia="仿宋" w:cs="仿宋"/>
          <w:lang w:val="en-US" w:eastAsia="zh-CN"/>
        </w:rPr>
        <w:t/>
        <w:drawing>
          <wp:inline distT="0" distR="0" distB="0" distL="0">
            <wp:extent cx="6134100" cy="3429000"/>
            <wp:docPr id="4" name="Drawing 4" descr="Generated"/>
            <a:graphic xmlns:a="http://schemas.openxmlformats.org/drawingml/2006/main">
              <a:graphicData uri="http://schemas.openxmlformats.org/drawingml/2006/picture">
                <pic:pic xmlns:pic="http://schemas.openxmlformats.org/drawingml/2006/picture">
                  <pic:nvPicPr>
                    <pic:cNvPr id="0" name="Picture 4" descr="Generated"/>
                    <pic:cNvPicPr>
                      <a:picLocks noChangeAspect="true"/>
                    </pic:cNvPicPr>
                  </pic:nvPicPr>
                  <pic:blipFill>
                    <a:blip r:embed="rId11"/>
                    <a:stretch>
                      <a:fillRect/>
                    </a:stretch>
                  </pic:blipFill>
                  <pic:spPr>
                    <a:xfrm>
                      <a:off x="0" y="0"/>
                      <a:ext cx="6134100" cy="3429000"/>
                    </a:xfrm>
                    <a:prstGeom prst="rect">
                      <a:avLst/>
                    </a:prstGeom>
                  </pic:spPr>
                </pic:pic>
              </a:graphicData>
            </a:graphic>
          </wp:inline>
        </w:drawing>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四、财政拨款收入支出决算总体情况说明</w:t>
      </w:r>
      <w:r>
        <w:rPr>
          <w:rFonts w:ascii="仿宋" w:hAnsi="仿宋" w:cs="仿宋" w:eastAsia="仿宋"/>
          <w:b w:val="true"/>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2020年度财政拨款收、支总计2,807.26万元，与上年相比，增加849.94万元，增长43.42%。主要是因为2020年学生人数和教师人数增加，财政增加相对应的拨款，同时增加相对应的支出。</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五、一般公共预算财政拨款支出决算情况说明</w:t>
      </w:r>
      <w:r>
        <w:rPr>
          <w:rFonts w:ascii="仿宋" w:hAnsi="仿宋" w:cs="仿宋" w:eastAsia="仿宋"/>
          <w:b w:val="true"/>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（一）财政拨款支出决算总体情况</w:t>
      </w:r>
      <w:r>
        <w:rPr>
          <w:rFonts w:ascii="仿宋" w:hAnsi="仿宋" w:cs="仿宋" w:eastAsia="仿宋"/>
          <w:b w:val="true"/>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2020年度财政拨款支出2,183.72万元，占本年支出合计的100%，与上年相比，财政拨款支出增加226.67万元，增长11.58%。主要是因为2020年学生人数和教师人数增加，财政增加相对应的拨款，同时增加相对应的支出。</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（二）财政拨款支出决算结构情况</w:t>
      </w:r>
      <w:r>
        <w:rPr>
          <w:rFonts w:ascii="仿宋" w:hAnsi="仿宋" w:cs="仿宋" w:eastAsia="仿宋"/>
          <w:b w:val="true"/>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2020年度财政拨款支出2,183.72万元，主要用于以下方面：教育支出（类）2,183.72万元，占100%。</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（三）财政拨款支出决算具体情况</w:t>
      </w:r>
      <w:r>
        <w:rPr>
          <w:rFonts w:ascii="仿宋" w:hAnsi="仿宋" w:cs="仿宋" w:eastAsia="仿宋"/>
          <w:b w:val="true"/>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2020年度财政拨款支出年初预算数为2,541.74万元，支出决算数为2,183.72万元，完成年初预算的85.91%，其中：</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1、教育支出（类）普通教育（款）小学教育（项）。</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年初预算为2,066.19万元，支出决算为2,023.61万元，完成年初预算的97.94%，决算数小于预算数的主要原因是：节约开支。</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2、教育支出（类）普通教育（款）其他普通教育支出（项）。</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年初预算为144.2万元，支出决算为64.73万元，完成年初预算的44.89%，决算数小于预算数的主要原因是：节约开支，2020年部分绩效未支付。</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3、教育支出（类）教育费附加安排的支出（款）其他教育费附加安排的支出（项）。</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年初预算为586.6万元，支出决算为93.96万元，完成年初预算的16.02%，决算数小于预算数的主要原因是：新建教学楼未动工。</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4、教育支出（类）其他教育支出（款）其他教育支出（项）。</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年初预算为10万元，支出决算为1.43万元，完成年初预算的14.3%，决算数小于预算数的主要原因是：节约开支，部分款项未结算。</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六、财政拨款基本支出决算情况说明</w:t>
      </w:r>
      <w:r>
        <w:rPr>
          <w:rFonts w:ascii="仿宋" w:hAnsi="仿宋" w:cs="仿宋" w:eastAsia="仿宋"/>
          <w:b w:val="true"/>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2020年度财政拨款基本支出2,122.8万元，其中：人员经费1,882.7万元，占基本支出的88.69%，主要包括：基本工资、津贴补贴、奖金、伙食补助费、绩效工资、机关事业单位基本养老保险缴费、职业年金缴费、职工基本医疗保险缴费、公务员医疗补助缴费、其他社会保障缴费、住房公积金、医疗费、其他工资福利支出、医疗费补助、奖励金、其他对个人和家庭的补助；公用经费240.1万元，占基本支出的11.31%，主要包括：办公费、印刷费、水费、电费、物业管理费、差旅费、维修（护）费、培训费、专用材料费、工会经费、其他交通费用、其他商品和服务支出。</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七、一般公共预算财政拨款三公经费支出决算情况说明</w:t>
      </w:r>
      <w:r>
        <w:rPr>
          <w:rFonts w:ascii="仿宋" w:hAnsi="仿宋" w:cs="仿宋" w:eastAsia="仿宋"/>
          <w:b w:val="true"/>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（一）“三公”经费财政拨款支出决算总体情况说明</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公”经费财政拨款支出预算为0万元，支出决算为0万元，“三公”经费财政拨款支出预算为0万元，无法计算完成比率，其中：因公出国（境）费支出预算为0万元，支出决算为0万元，与本年预算数相同，与上年决算数相同。</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公务接待费支出预算为0万元，支出决算为0万元，与本年预算数相同，与上年决算数相同。</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公务用车购置费及运行维护费支出预算为0万元，支出决算为0万元，与本年预算数相同，与上年相比减少0.26万元，减少100%，减少的主要原因是2021年没有公务用车运行维护费。</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（二）“三公”经费财政拨款支出决算具体情况说明</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2020年度“三公”经费财政拨款支出决算中，公务接待费支出决算0万元，占0%，因公出国（境）费支出决算0万元，占0%，公务用车购置费及运行维护费支出决算0万元，占0%。其中：</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1、因公出国（境）费支出决算为0万元，全年安排因公出国（境）团组0个，累计0人次。</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2、公务接待费支出决算为0万元，全年共接待来访团组0个，来宾0人次。</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3、公务用车购置费及运行维护费支出决算为0万元。截止2020年12月31日，我单位开支财政拨款的公务用车保有量为0辆。</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八、政府性基金预算收入支出决算情况</w:t>
      </w:r>
      <w:r>
        <w:rPr>
          <w:rFonts w:ascii="仿宋" w:hAnsi="仿宋" w:cs="仿宋" w:eastAsia="仿宋"/>
          <w:b w:val="true"/>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本单位无政府性基金收支。</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九、关于机关运行经费支出说明</w:t>
      </w:r>
      <w:r>
        <w:rPr>
          <w:rFonts w:ascii="仿宋" w:hAnsi="仿宋" w:cs="仿宋" w:eastAsia="仿宋"/>
          <w:b w:val="true"/>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本部门2020年度机关运行经费支出0万元，与年初预算数相同。</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十、一般性支出情况</w:t>
      </w:r>
      <w:r>
        <w:rPr>
          <w:rFonts w:ascii="仿宋" w:hAnsi="仿宋" w:cs="仿宋" w:eastAsia="仿宋"/>
          <w:b w:val="true"/>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2020年本部门开支会议费0万元。开支培训费0万元。未举办无数据节庆、晚会、论坛、赛事等活动。</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十一、关于政府采购支出说明</w:t>
      </w:r>
      <w:r>
        <w:rPr>
          <w:rFonts w:ascii="仿宋" w:hAnsi="仿宋" w:cs="仿宋" w:eastAsia="仿宋"/>
          <w:b w:val="true"/>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2020年度政府采购支出总额46.11万元，其中：政府采购货物支出0万元、政府采购工程支出46.11万元、政府采购服务支出0万元。授予中小企业合同金额0万元，其中：授予小微企业合同金额0万元，（政府采购金额的计算口径为：本部门纳入2020年度部门预算范围的各项政府采购支出金额之和，不包括涉密采购项目的支出金额）</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十二、国有资产占用情况说明</w:t>
      </w:r>
      <w:r>
        <w:rPr>
          <w:rFonts w:ascii="仿宋" w:hAnsi="仿宋" w:cs="仿宋" w:eastAsia="仿宋"/>
          <w:b w:val="true"/>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截至2020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r>
        <w:rPr>
          <w:rFonts w:ascii="仿宋" w:hAnsi="仿宋" w:cs="仿宋" w:eastAsia="仿宋"/>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62" w:firstLineChars="206"/>
        <w:jc w:val="both"/>
        <w:textAlignment w:val="auto"/>
        <w:rPr>
          <w:rFonts w:hint="eastAsia" w:ascii="仿宋" w:hAnsi="仿宋" w:eastAsia="仿宋" w:cs="仿宋"/>
          <w:b/>
          <w:bCs/>
          <w:lang w:val="en-US"/>
        </w:rPr>
      </w:pPr>
      <w:r>
        <w:rPr>
          <w:rFonts w:hint="eastAsia" w:ascii="仿宋" w:hAnsi="仿宋" w:eastAsia="仿宋" w:cs="仿宋"/>
          <w:b/>
          <w:bCs/>
          <w:lang w:val="en-US"/>
        </w:rPr>
        <w:t/>
      </w:r>
      <w:r>
        <w:rPr>
          <w:rFonts w:ascii="仿宋" w:hAnsi="仿宋" w:cs="仿宋" w:eastAsia="仿宋"/>
          <w:b w:val="true"/>
        </w:rPr>
        <w:t>十三、预算绩效评价工作开展情况</w:t>
      </w:r>
      <w:r>
        <w:rPr>
          <w:rFonts w:ascii="仿宋" w:hAnsi="仿宋" w:cs="仿宋" w:eastAsia="仿宋"/>
          <w:b w:val="true"/>
        </w:rPr>
        <w:t/>
      </w:r>
    </w:p>
    <w:p>
      <w:pPr>
        <w:pStyle w:val="3"/>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2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本部门预算绩效管理开展情况、绩效目标和绩效评价报告等见附件。</w:t>
      </w:r>
      <w:r>
        <w:rPr>
          <w:rFonts w:ascii="仿宋" w:hAnsi="仿宋" w:cs="仿宋" w:eastAsia="仿宋"/>
        </w:rPr>
        <w:t/>
      </w:r>
    </w:p>
    <w:p>
      <w:pPr>
        <w:pStyle w:val="9"/>
        <w:tabs>
          <w:tab w:val="left" w:pos="5967"/>
        </w:tabs>
        <w:jc w:val="left"/>
        <w:rPr>
          <w:rFonts w:hint="eastAsia" w:eastAsia="黑体"/>
          <w:sz w:val="72"/>
          <w:szCs w:val="72"/>
          <w:lang w:eastAsia="zh-CN"/>
        </w:rPr>
        <w:sectPr>
          <w:footerReference r:id="rId6" w:type="default"/>
          <w:pgSz w:w="11906" w:h="16838"/>
          <w:pgMar w:top="720" w:right="720" w:bottom="720" w:left="720" w:header="851" w:footer="992" w:gutter="0"/>
          <w:pgNumType w:fmt="numberInDash"/>
          <w:cols w:space="0" w:num="1"/>
          <w:rtlGutter w:val="0"/>
          <w:docGrid w:type="lines" w:linePitch="319" w:charSpace="0"/>
        </w:sectPr>
      </w:pPr>
    </w:p>
    <w:p>
      <w:pPr>
        <w:pStyle w:val="9"/>
        <w:jc w:val="both"/>
        <w:rPr>
          <w:sz w:val="72"/>
          <w:szCs w:val="72"/>
        </w:rPr>
      </w:pPr>
    </w:p>
    <w:p>
      <w:pPr>
        <w:pStyle w:val="9"/>
        <w:jc w:val="both"/>
        <w:rPr>
          <w:sz w:val="72"/>
          <w:szCs w:val="72"/>
        </w:rPr>
      </w:pPr>
    </w:p>
    <w:p>
      <w:pPr>
        <w:pStyle w:val="9"/>
        <w:jc w:val="center"/>
        <w:rPr>
          <w:rFonts w:hint="eastAsia" w:ascii="仿宋" w:hAnsi="仿宋" w:eastAsia="仿宋" w:cs="仿宋"/>
          <w:b/>
          <w:bCs/>
          <w:sz w:val="72"/>
          <w:szCs w:val="72"/>
        </w:rPr>
      </w:pPr>
    </w:p>
    <w:p>
      <w:pPr>
        <w:pStyle w:val="9"/>
        <w:jc w:val="center"/>
        <w:rPr>
          <w:rFonts w:hint="eastAsia" w:ascii="仿宋" w:hAnsi="仿宋" w:eastAsia="仿宋" w:cs="仿宋"/>
          <w:b/>
          <w:bCs/>
          <w:sz w:val="72"/>
          <w:szCs w:val="72"/>
        </w:rPr>
      </w:pPr>
    </w:p>
    <w:p>
      <w:pPr>
        <w:pStyle w:val="9"/>
        <w:jc w:val="center"/>
        <w:rPr>
          <w:rFonts w:hint="eastAsia" w:ascii="仿宋" w:hAnsi="仿宋" w:eastAsia="仿宋" w:cs="仿宋"/>
          <w:b/>
          <w:bCs/>
          <w:sz w:val="52"/>
          <w:szCs w:val="52"/>
        </w:rPr>
      </w:pPr>
      <w:r>
        <w:rPr>
          <w:rFonts w:hint="eastAsia" w:ascii="仿宋" w:hAnsi="仿宋" w:eastAsia="仿宋" w:cs="仿宋"/>
          <w:b/>
          <w:bCs/>
          <w:sz w:val="52"/>
          <w:szCs w:val="52"/>
        </w:rPr>
        <w:t>第四部分</w:t>
      </w:r>
    </w:p>
    <w:p>
      <w:pPr>
        <w:jc w:val="center"/>
        <w:rPr>
          <w:rFonts w:hint="eastAsia" w:ascii="仿宋" w:hAnsi="仿宋" w:eastAsia="仿宋" w:cs="仿宋"/>
          <w:b/>
          <w:bCs/>
          <w:color w:val="000000"/>
          <w:kern w:val="0"/>
          <w:sz w:val="52"/>
          <w:szCs w:val="52"/>
        </w:rPr>
      </w:pPr>
    </w:p>
    <w:p>
      <w:pPr>
        <w:jc w:val="center"/>
        <w:rPr>
          <w:rFonts w:hint="eastAsia" w:ascii="仿宋" w:hAnsi="仿宋" w:eastAsia="仿宋" w:cs="仿宋"/>
          <w:b/>
          <w:bCs/>
          <w:color w:val="000000"/>
          <w:kern w:val="0"/>
          <w:sz w:val="52"/>
          <w:szCs w:val="52"/>
        </w:rPr>
      </w:pPr>
      <w:r>
        <w:rPr>
          <w:rFonts w:hint="eastAsia" w:ascii="仿宋" w:hAnsi="仿宋" w:eastAsia="仿宋" w:cs="仿宋"/>
          <w:b/>
          <w:bCs/>
          <w:color w:val="000000"/>
          <w:kern w:val="0"/>
          <w:sz w:val="52"/>
          <w:szCs w:val="52"/>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一、财政拨款收入</w:t>
      </w:r>
      <w:r>
        <w:rPr>
          <w:rFonts w:ascii="仿宋" w:hAnsi="仿宋" w:cs="仿宋" w:eastAsia="仿宋"/>
          <w:b w:val="true"/>
          <w:color w:val="000000"/>
          <w:sz w:val="32"/>
        </w:rPr>
        <w:t>：</w:t>
      </w:r>
      <w:r>
        <w:rPr>
          <w:rFonts w:hint="eastAsia" w:ascii="仿宋" w:hAnsi="仿宋" w:eastAsia="仿宋" w:cs="仿宋"/>
          <w:color w:val="000000"/>
          <w:kern w:val="0"/>
          <w:sz w:val="32"/>
          <w:szCs w:val="32"/>
        </w:rPr>
        <w:t>指单位本年度从同级财政部门取得的各类财政拨款。</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二、上级补助收入</w:t>
      </w:r>
      <w:r>
        <w:rPr>
          <w:rFonts w:ascii="仿宋" w:hAnsi="仿宋" w:cs="仿宋" w:eastAsia="仿宋"/>
          <w:b w:val="true"/>
          <w:color w:val="000000"/>
          <w:sz w:val="32"/>
        </w:rPr>
        <w:t>：</w:t>
      </w:r>
      <w:r>
        <w:rPr>
          <w:rFonts w:hint="eastAsia" w:ascii="仿宋" w:hAnsi="仿宋" w:eastAsia="仿宋" w:cs="仿宋"/>
          <w:color w:val="000000"/>
          <w:kern w:val="0"/>
          <w:sz w:val="32"/>
          <w:szCs w:val="32"/>
        </w:rPr>
        <w:t>指事业单位从主管部门和上级单位取得的非财政补助收入。</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三、事业收入</w:t>
      </w:r>
      <w:r>
        <w:rPr>
          <w:rFonts w:ascii="仿宋" w:hAnsi="仿宋" w:cs="仿宋" w:eastAsia="仿宋"/>
          <w:b w:val="true"/>
          <w:color w:val="000000"/>
          <w:sz w:val="32"/>
        </w:rPr>
        <w:t>：</w:t>
      </w:r>
      <w:r>
        <w:rPr>
          <w:rFonts w:hint="eastAsia" w:ascii="仿宋" w:hAnsi="仿宋" w:eastAsia="仿宋" w:cs="仿宋"/>
          <w:color w:val="000000"/>
          <w:kern w:val="0"/>
          <w:sz w:val="32"/>
          <w:szCs w:val="32"/>
        </w:rPr>
        <w:t>指事业单位开展专业业务活动及其辅助活动取得的收入，事业单位收到的财政专户实际核拨的教育收费等资金在此反映。</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四、经营收入</w:t>
      </w:r>
      <w:r>
        <w:rPr>
          <w:rFonts w:ascii="仿宋" w:hAnsi="仿宋" w:cs="仿宋" w:eastAsia="仿宋"/>
          <w:b w:val="true"/>
          <w:color w:val="000000"/>
          <w:sz w:val="32"/>
        </w:rPr>
        <w:t>：</w:t>
      </w:r>
      <w:r>
        <w:rPr>
          <w:rFonts w:hint="eastAsia" w:ascii="仿宋" w:hAnsi="仿宋" w:eastAsia="仿宋" w:cs="仿宋"/>
          <w:color w:val="000000"/>
          <w:kern w:val="0"/>
          <w:sz w:val="32"/>
          <w:szCs w:val="32"/>
        </w:rPr>
        <w:t>指事业单位在专业业务活动及其辅助活动之外开展非独立核算经营活动取得的收入。</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五、附属单位上缴收入</w:t>
      </w:r>
      <w:r>
        <w:rPr>
          <w:rFonts w:ascii="仿宋" w:hAnsi="仿宋" w:cs="仿宋" w:eastAsia="仿宋"/>
          <w:b w:val="true"/>
          <w:color w:val="000000"/>
          <w:sz w:val="32"/>
        </w:rPr>
        <w:t>：</w:t>
      </w:r>
      <w:r>
        <w:rPr>
          <w:rFonts w:hint="eastAsia" w:ascii="仿宋" w:hAnsi="仿宋" w:eastAsia="仿宋" w:cs="仿宋"/>
          <w:color w:val="000000"/>
          <w:kern w:val="0"/>
          <w:sz w:val="32"/>
          <w:szCs w:val="32"/>
        </w:rPr>
        <w:t>指事业单位附属独立核算单位按照有关规定上缴的收入。</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六、其他收入</w:t>
      </w:r>
      <w:r>
        <w:rPr>
          <w:rFonts w:ascii="仿宋" w:hAnsi="仿宋" w:cs="仿宋" w:eastAsia="仿宋"/>
          <w:b w:val="true"/>
          <w:color w:val="000000"/>
          <w:sz w:val="32"/>
        </w:rPr>
        <w:t>：</w:t>
      </w:r>
      <w:r>
        <w:rPr>
          <w:rFonts w:hint="eastAsia" w:ascii="仿宋" w:hAnsi="仿宋" w:eastAsia="仿宋" w:cs="仿宋"/>
          <w:color w:val="000000"/>
          <w:kern w:val="0"/>
          <w:sz w:val="32"/>
          <w:szCs w:val="32"/>
        </w:rPr>
        <w:t>指单位取得的除上述“财政拨款收入”、“事业收入”、“经营收入”等以外的各项收入。</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七、使用非财政拨款结余</w:t>
      </w:r>
      <w:r>
        <w:rPr>
          <w:rFonts w:ascii="仿宋" w:hAnsi="仿宋" w:cs="仿宋" w:eastAsia="仿宋"/>
          <w:b w:val="true"/>
          <w:color w:val="000000"/>
          <w:sz w:val="32"/>
        </w:rPr>
        <w:t>：</w:t>
      </w:r>
      <w:r>
        <w:rPr>
          <w:rFonts w:hint="eastAsia" w:ascii="仿宋" w:hAnsi="仿宋" w:eastAsia="仿宋" w:cs="仿宋"/>
          <w:color w:val="000000"/>
          <w:kern w:val="0"/>
          <w:sz w:val="32"/>
          <w:szCs w:val="32"/>
        </w:rPr>
        <w:t>指事业单位使用非财政拨款结余（原事业基金）弥补当年收支差额的数额。</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八、年初结转和结余</w:t>
      </w:r>
      <w:r>
        <w:rPr>
          <w:rFonts w:ascii="仿宋" w:hAnsi="仿宋" w:cs="仿宋" w:eastAsia="仿宋"/>
          <w:b w:val="true"/>
          <w:color w:val="000000"/>
          <w:sz w:val="32"/>
        </w:rPr>
        <w:t>：</w:t>
      </w:r>
      <w:r>
        <w:rPr>
          <w:rFonts w:hint="eastAsia" w:ascii="仿宋" w:hAnsi="仿宋" w:eastAsia="仿宋" w:cs="仿宋"/>
          <w:color w:val="000000"/>
          <w:kern w:val="0"/>
          <w:sz w:val="32"/>
          <w:szCs w:val="32"/>
        </w:rPr>
        <w:t>指单位上年结转本年使用的基本支出结转、项目支出结转和结余和经营结余。</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九、结余分配</w:t>
      </w:r>
      <w:r>
        <w:rPr>
          <w:rFonts w:ascii="仿宋" w:hAnsi="仿宋" w:cs="仿宋" w:eastAsia="仿宋"/>
          <w:b w:val="true"/>
          <w:color w:val="000000"/>
          <w:sz w:val="32"/>
        </w:rPr>
        <w:t>：</w:t>
      </w:r>
      <w:r>
        <w:rPr>
          <w:rFonts w:hint="eastAsia" w:ascii="仿宋" w:hAnsi="仿宋" w:eastAsia="仿宋" w:cs="仿宋"/>
          <w:color w:val="000000"/>
          <w:kern w:val="0"/>
          <w:sz w:val="32"/>
          <w:szCs w:val="32"/>
        </w:rPr>
        <w:t>指事业单位按规定对非财政拨款结余资金提取的专用基金、缴纳的所得税和转入非财政拨款结余等。</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十、年末结转和结余资金</w:t>
      </w:r>
      <w:r>
        <w:rPr>
          <w:rFonts w:ascii="仿宋" w:hAnsi="仿宋" w:cs="仿宋" w:eastAsia="仿宋"/>
          <w:b w:val="true"/>
          <w:color w:val="000000"/>
          <w:sz w:val="32"/>
        </w:rPr>
        <w:t>：</w:t>
      </w:r>
      <w:r>
        <w:rPr>
          <w:rFonts w:hint="eastAsia" w:ascii="仿宋" w:hAnsi="仿宋" w:eastAsia="仿宋" w:cs="仿宋"/>
          <w:color w:val="000000"/>
          <w:kern w:val="0"/>
          <w:sz w:val="32"/>
          <w:szCs w:val="32"/>
        </w:rPr>
        <w:t>指本年度或以前年度预算安排、因客观条件发生变化无法按原计划实施，需要延迟到以后年度按有关规定继续使用的资金。</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十一、基本支出</w:t>
      </w:r>
      <w:r>
        <w:rPr>
          <w:rFonts w:ascii="仿宋" w:hAnsi="仿宋" w:cs="仿宋" w:eastAsia="仿宋"/>
          <w:b w:val="true"/>
          <w:color w:val="000000"/>
          <w:sz w:val="32"/>
        </w:rPr>
        <w:t>：</w:t>
      </w:r>
      <w:r>
        <w:rPr>
          <w:rFonts w:hint="eastAsia" w:ascii="仿宋" w:hAnsi="仿宋" w:eastAsia="仿宋" w:cs="仿宋"/>
          <w:color w:val="000000"/>
          <w:kern w:val="0"/>
          <w:sz w:val="32"/>
          <w:szCs w:val="32"/>
        </w:rPr>
        <w:t>指为保障机构正常运转、完成日常工作任务而发生的支出，包括人员经费和公用经费。</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十二、项目支出</w:t>
      </w:r>
      <w:r>
        <w:rPr>
          <w:rFonts w:ascii="仿宋" w:hAnsi="仿宋" w:cs="仿宋" w:eastAsia="仿宋"/>
          <w:b w:val="true"/>
          <w:color w:val="000000"/>
          <w:sz w:val="32"/>
        </w:rPr>
        <w:t>：</w:t>
      </w:r>
      <w:r>
        <w:rPr>
          <w:rFonts w:hint="eastAsia" w:ascii="仿宋" w:hAnsi="仿宋" w:eastAsia="仿宋" w:cs="仿宋"/>
          <w:color w:val="000000"/>
          <w:kern w:val="0"/>
          <w:sz w:val="32"/>
          <w:szCs w:val="32"/>
        </w:rPr>
        <w:t>指在为完成特定的工作任务和事业发展目标所发生的支出。</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十三、上缴上级支出</w:t>
      </w:r>
      <w:r>
        <w:rPr>
          <w:rFonts w:ascii="仿宋" w:hAnsi="仿宋" w:cs="仿宋" w:eastAsia="仿宋"/>
          <w:b w:val="true"/>
          <w:color w:val="000000"/>
          <w:sz w:val="32"/>
        </w:rPr>
        <w:t>：</w:t>
      </w:r>
      <w:r>
        <w:rPr>
          <w:rFonts w:hint="eastAsia" w:ascii="仿宋" w:hAnsi="仿宋" w:eastAsia="仿宋" w:cs="仿宋"/>
          <w:color w:val="000000"/>
          <w:kern w:val="0"/>
          <w:sz w:val="32"/>
          <w:szCs w:val="32"/>
        </w:rPr>
        <w:t>指事业单位按照财政部门和主管部门的规定上缴上级单位的支出。</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十四、经营支出</w:t>
      </w:r>
      <w:r>
        <w:rPr>
          <w:rFonts w:ascii="仿宋" w:hAnsi="仿宋" w:cs="仿宋" w:eastAsia="仿宋"/>
          <w:b w:val="true"/>
          <w:color w:val="000000"/>
          <w:sz w:val="32"/>
        </w:rPr>
        <w:t>：</w:t>
      </w:r>
      <w:r>
        <w:rPr>
          <w:rFonts w:hint="eastAsia" w:ascii="仿宋" w:hAnsi="仿宋" w:eastAsia="仿宋" w:cs="仿宋"/>
          <w:color w:val="000000"/>
          <w:kern w:val="0"/>
          <w:sz w:val="32"/>
          <w:szCs w:val="32"/>
        </w:rPr>
        <w:t>指事业单位在专业业务活动及其辅助活动之外开展非独立核算经营活动发生的支出。</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十五、对附属单位补助支出</w:t>
      </w:r>
      <w:r>
        <w:rPr>
          <w:rFonts w:ascii="仿宋" w:hAnsi="仿宋" w:cs="仿宋" w:eastAsia="仿宋"/>
          <w:b w:val="true"/>
          <w:color w:val="000000"/>
          <w:sz w:val="32"/>
        </w:rPr>
        <w:t>：</w:t>
      </w:r>
      <w:r>
        <w:rPr>
          <w:rFonts w:hint="eastAsia" w:ascii="仿宋" w:hAnsi="仿宋" w:eastAsia="仿宋" w:cs="仿宋"/>
          <w:color w:val="000000"/>
          <w:kern w:val="0"/>
          <w:sz w:val="32"/>
          <w:szCs w:val="32"/>
        </w:rPr>
        <w:t>指事业单位用财政拨款收入之外的收入对附属单位补助发生的支出。</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十六、“三公”经费</w:t>
      </w:r>
      <w:r>
        <w:rPr>
          <w:rFonts w:ascii="仿宋" w:hAnsi="仿宋" w:cs="仿宋" w:eastAsia="仿宋"/>
          <w:b w:val="true"/>
          <w:color w:val="000000"/>
          <w:sz w:val="32"/>
        </w:rPr>
        <w:t>：</w:t>
      </w:r>
      <w:r>
        <w:rPr>
          <w:rFonts w:hint="eastAsia" w:ascii="仿宋" w:hAnsi="仿宋" w:eastAsia="仿宋" w:cs="仿宋"/>
          <w:color w:val="000000"/>
          <w:kern w:val="0"/>
          <w:sz w:val="32"/>
          <w:szCs w:val="32"/>
        </w:rPr>
        <w:t>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十七、机关运行经费</w:t>
      </w:r>
      <w:r>
        <w:rPr>
          <w:rFonts w:ascii="仿宋" w:hAnsi="仿宋" w:cs="仿宋" w:eastAsia="仿宋"/>
          <w:b w:val="true"/>
          <w:color w:val="000000"/>
          <w:sz w:val="32"/>
        </w:rPr>
        <w:t>：</w:t>
      </w:r>
      <w:r>
        <w:rPr>
          <w:rFonts w:hint="eastAsia" w:ascii="仿宋" w:hAnsi="仿宋" w:eastAsia="仿宋" w:cs="仿宋"/>
          <w:color w:val="000000"/>
          <w:kern w:val="0"/>
          <w:sz w:val="32"/>
          <w:szCs w:val="32"/>
        </w:rPr>
        <w:t>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十八、教育支出(类)普通教育(款)小学教育(项)</w:t>
      </w:r>
      <w:r>
        <w:rPr>
          <w:rFonts w:ascii="仿宋" w:hAnsi="仿宋" w:cs="仿宋" w:eastAsia="仿宋"/>
          <w:b w:val="true"/>
          <w:color w:val="000000"/>
          <w:sz w:val="32"/>
        </w:rPr>
        <w:t>：</w:t>
      </w:r>
      <w:r>
        <w:rPr>
          <w:rFonts w:hint="eastAsia" w:ascii="仿宋" w:hAnsi="仿宋" w:eastAsia="仿宋" w:cs="仿宋"/>
          <w:color w:val="000000"/>
          <w:kern w:val="0"/>
          <w:sz w:val="32"/>
          <w:szCs w:val="32"/>
        </w:rPr>
        <w:t>反映各部门举办的小学教育支出。政府各部门对社会中介组织等举办的小学的资助，如各类捐赠、补贴等，也在本科目中反映。</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十九、教育支出(类)普通教育(款)其他普通教育支出(项)</w:t>
      </w:r>
      <w:r>
        <w:rPr>
          <w:rFonts w:ascii="仿宋" w:hAnsi="仿宋" w:cs="仿宋" w:eastAsia="仿宋"/>
          <w:b w:val="true"/>
          <w:color w:val="000000"/>
          <w:sz w:val="32"/>
        </w:rPr>
        <w:t>：</w:t>
      </w:r>
      <w:r>
        <w:rPr>
          <w:rFonts w:hint="eastAsia" w:ascii="仿宋" w:hAnsi="仿宋" w:eastAsia="仿宋" w:cs="仿宋"/>
          <w:color w:val="000000"/>
          <w:kern w:val="0"/>
          <w:sz w:val="32"/>
          <w:szCs w:val="32"/>
        </w:rPr>
        <w:t>反映除上述项目以外其他用于普通教育方面的支出。</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二十、教育支出(类)教育费附加安排的支出(款)其他教育费附加安排的支出(项)</w:t>
      </w:r>
      <w:r>
        <w:rPr>
          <w:rFonts w:ascii="仿宋" w:hAnsi="仿宋" w:cs="仿宋" w:eastAsia="仿宋"/>
          <w:b w:val="true"/>
          <w:color w:val="000000"/>
          <w:sz w:val="32"/>
        </w:rPr>
        <w:t>：</w:t>
      </w:r>
      <w:r>
        <w:rPr>
          <w:rFonts w:hint="eastAsia" w:ascii="仿宋" w:hAnsi="仿宋" w:eastAsia="仿宋" w:cs="仿宋"/>
          <w:color w:val="000000"/>
          <w:kern w:val="0"/>
          <w:sz w:val="32"/>
          <w:szCs w:val="32"/>
        </w:rPr>
        <w:t>反映除上述项目以外的教育费附加支出。</w:t>
      </w:r>
    </w:p>
    <w:p>
      <w:pPr>
        <w:ind w:firstLine="643" w:firstLineChars="200"/>
        <w:jc w:val="both"/>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二十一、教育支出(类)其他教育支出(款)其他教育支出(项)</w:t>
      </w:r>
      <w:r>
        <w:rPr>
          <w:rFonts w:ascii="仿宋" w:hAnsi="仿宋" w:cs="仿宋" w:eastAsia="仿宋"/>
          <w:b w:val="true"/>
          <w:color w:val="000000"/>
          <w:sz w:val="32"/>
        </w:rPr>
        <w:t>：</w:t>
      </w:r>
      <w:r>
        <w:rPr>
          <w:rFonts w:hint="eastAsia" w:ascii="仿宋" w:hAnsi="仿宋" w:eastAsia="仿宋" w:cs="仿宋"/>
          <w:color w:val="000000"/>
          <w:kern w:val="0"/>
          <w:sz w:val="32"/>
          <w:szCs w:val="32"/>
        </w:rPr>
        <w:t>反映除上述项目以外其他用于教育方面的支出。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3" w:hRule="atLeast"/>
        </w:trPr>
        <w:tc>
          <w:tcPr>
            <w:tcW w:w="8516" w:type="dxa"/>
            <w:tcBorders>
              <w:top w:val="nil"/>
              <w:left w:val="nil"/>
              <w:bottom w:val="nil"/>
              <w:right w:val="nil"/>
            </w:tcBorders>
            <w:vAlign w:val="center"/>
          </w:tcPr>
          <w:p>
            <w:pPr>
              <w:pStyle w:val="9"/>
              <w:jc w:val="center"/>
              <w:rPr>
                <w:rFonts w:hint="eastAsia" w:ascii="仿宋" w:hAnsi="仿宋" w:eastAsia="仿宋" w:cs="仿宋"/>
                <w:b/>
                <w:bCs/>
                <w:sz w:val="52"/>
                <w:szCs w:val="52"/>
              </w:rPr>
            </w:pPr>
            <w:r>
              <w:rPr>
                <w:rFonts w:hint="eastAsia" w:ascii="仿宋" w:hAnsi="仿宋" w:eastAsia="仿宋" w:cs="仿宋"/>
                <w:b/>
                <w:bCs/>
                <w:sz w:val="52"/>
                <w:szCs w:val="52"/>
              </w:rPr>
              <w:t>第</w:t>
            </w:r>
            <w:r>
              <w:rPr>
                <w:rFonts w:hint="eastAsia" w:ascii="仿宋" w:hAnsi="仿宋" w:eastAsia="仿宋" w:cs="仿宋"/>
                <w:b/>
                <w:bCs/>
                <w:sz w:val="52"/>
                <w:szCs w:val="52"/>
                <w:lang w:val="en-US" w:eastAsia="zh-CN"/>
              </w:rPr>
              <w:t>五</w:t>
            </w:r>
            <w:r>
              <w:rPr>
                <w:rFonts w:hint="eastAsia" w:ascii="仿宋" w:hAnsi="仿宋" w:eastAsia="仿宋" w:cs="仿宋"/>
                <w:b/>
                <w:bCs/>
                <w:sz w:val="52"/>
                <w:szCs w:val="52"/>
              </w:rPr>
              <w:t>部分</w:t>
            </w:r>
          </w:p>
          <w:p>
            <w:pPr>
              <w:pStyle w:val="9"/>
              <w:jc w:val="center"/>
              <w:rPr>
                <w:rFonts w:hint="eastAsia" w:ascii="仿宋" w:hAnsi="仿宋" w:eastAsia="仿宋" w:cs="仿宋"/>
                <w:b/>
                <w:bCs/>
                <w:sz w:val="52"/>
                <w:szCs w:val="52"/>
              </w:rPr>
            </w:pPr>
          </w:p>
          <w:p>
            <w:pPr>
              <w:pStyle w:val="9"/>
              <w:jc w:val="center"/>
              <w:rPr>
                <w:rFonts w:hint="eastAsia" w:ascii="仿宋" w:hAnsi="仿宋" w:eastAsia="仿宋" w:cs="仿宋"/>
                <w:b/>
                <w:bCs/>
                <w:sz w:val="52"/>
                <w:szCs w:val="52"/>
              </w:rPr>
            </w:pPr>
            <w:r>
              <w:rPr>
                <w:rFonts w:hint="eastAsia" w:ascii="仿宋" w:hAnsi="仿宋" w:eastAsia="仿宋" w:cs="仿宋"/>
                <w:b/>
                <w:bCs/>
                <w:color w:val="000000"/>
                <w:kern w:val="0"/>
                <w:sz w:val="52"/>
                <w:szCs w:val="52"/>
                <w:lang w:val="en-US" w:eastAsia="zh-CN"/>
              </w:rPr>
              <w:t>附件</w:t>
            </w:r>
          </w:p>
        </w:tc>
      </w:tr>
    </w:tbl>
    <w:sectPr>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 AQAADwAAAGRycy9kb3ducmV2LnhtbE2PQUvDQBCF74L/YRmhN7tpKxJiNgVL06Ng48HjNjsm0d3Z sLtN4793FEEvwzze8OZ75XZ2VkwY4uBJwWqZgUBqvRmoU/DS1Lc5iJg0GW09oYJPjLCtrq9KXRh/ oWecjqkTHEKx0Ar6lMZCytj26HRc+hGJvTcfnE4sQydN0BcOd1aus+xeOj0Qf+j1iLse24/j2SnY 1U0TJozBvuKh3rw/Pd7hflZqcbPKHkAknNPfMXzjMzpUzHTyZzJRWAVcJP1M9tZ5zvL0u8iqlP/p qy9QSwMEFAAAAAgAh07iQOGA044yAgAAYQQAAA4AAABkcnMvZTJvRG9jLnhtbK1UzY7TMBC+I/EO lu80aStWVdV0VbYqQqrYlQri7DpOE8l/st0m5QHgDThx4c5z9Tn2c366aOGwBy7O2DP+xt83M1nc NkqSk3C+Mjqj41FKidDc5JU+ZPTzp82bGSU+MJ0zabTI6Fl4ert8/WpR27mYmNLIXDgCEO3ntc1o GYKdJ4nnpVDMj4wVGs7COMUCtu6Q5I7VQFcymaTpTVIbl1tnuPAep+vOSXtE9xJAUxQVF2vDj0ro 0KE6IVkAJV9W1tNl+9qiEDzcF4UXgciMgmloVySBvY9rslyw+cExW1a8fwJ7yROecVKs0kh6hVqz wMjRVX9BqYo7400RRtyopCPSKgIW4/SZNruSWdFygdTeXkX3/w+Wfzw9OFLlGZ1SoplCwS8/vl9+ /r78+kamUZ7a+jmidhZxoXlnGjTNcO5xGFk3hVPxCz4Efoh7voormkB4vDSbzGYpXBy+YQP85Om6 dT68F0aRaGTUoXqtqOy09aELHUJiNm02lZRtBaUmdUZvpm/T9sLVA3CpkSOS6B4brdDsm57Z3uRn EHOm6wxv+aZC8i3z4YE5tAIejGEJ91gKaZDE9BYlpXFf/3Ue41EheCmp0VoZ1ZgkSuQHjcoBMAyG G4z9YOijujPo1TGG0PLWxAUX5GAWzqgvmKBVzAEX0xyZMhoG8y507Y0J5GK1aoOO1lWHsruAvrMs bPXO8pgmCunt6hggZqtxFKhTpdcNnddWqZ+S2Np/7tuopz/D8hFQSwMECgAAAAAAh07iQAAAAAAA AAAAAAAAAAYAAABfcmVscy9QSwMEFAAAAAgAh07iQIoUZjzRAAAAlAEAAAsAAABfcmVscy8ucmVs c6WQwWrDMAyG74O9g9F9cZrDGKNOL6PQa+kewNiKYxpbRjLZ+vbzDoNl9LajfqHvE//+8JkWtSJL pGxg1/WgMDvyMQcD75fj0wsoqTZ7u1BGAzcUOIyPD/szLra2I5ljEdUoWQzMtZZXrcXNmKx0VDC3 zUScbG0jB12su9qAeuj7Z82/GTBumOrkDfDJD6Aut9LMf9gpOiahqXaOkqZpiu4eVQe2ZY7uyDbh G7lGsxywGvAsGgdqWdd+BH1fv/un3tNHPuO61X6HjOuPV2+6HL8AUEsDBBQAAAAIAIdO4kB+5uUg 9wAAAOEBAAATAAAAW0NvbnRlbnRfVHlwZXNdLnhtbJWRQU7DMBBF90jcwfIWJU67QAgl6YK0S0Co HGBkTxKLZGx5TGhvj5O2G0SRWNoz/78nu9wcxkFMGNg6quQqL6RA0s5Y6ir5vt9lD1JwBDIwOMJK HpHlpr69KfdHjyxSmriSfYz+USnWPY7AufNIadK6MEJMx9ApD/oDOlTrorhX2lFEilmcO2RdNtjC 5xDF9pCuTyYBB5bi6bQ4syoJ3g9WQ0ymaiLzg5KdCXlKLjvcW893SUOqXwnz5DrgnHtJTxOsQfEK IT7DmDSUCayM+6KAU/53yWw5cuba1mrMm8BNir3hdLG61o5r1zj93/Ltkrp0q+WD6m9QSwECFAAU AAAACACHTuJAfublIPcAAADhAQAAEwAAAAAAAAABACAAAACbBAAAW0NvbnRlbnRfVHlwZXNdLnht bFBLAQIUAAoAAAAAAIdO4kAAAAAAAAAAAAAAAAAGAAAAAAAAAAAAEAAAAH0DAABfcmVscy9QSwEC FAAUAAAACACHTuJAihRmPNEAAACUAQAACwAAAAAAAAABACAAAAChAwAAX3JlbHMvLnJlbHNQSwEC FAAKAAAAAACHTuJAAAAAAAAAAAAAAAAABAAAAAAAAAAAABAAAAAAAAAAZHJzL1BLAQIUABQAAAAI AIdO4kCzSVju0AAAAAUBAAAPAAAAAAAAAAEAIAAAACIAAABkcnMvZG93bnJldi54bWxQSwECFAAU AAAACACHTuJA4YDTjjICAABhBAAADgAAAAAAAAABACAAAAAfAQAAZHJzL2Uyb0RvYy54bWxQSwUG AAAAAAYABgBZAQAAwwUAAAAA ">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 AQAADwAAAGRycy9kb3ducmV2LnhtbE2PMWvDMBCF90L/g7hAt0ZOhtY4ljMEsnRLWgrdFOtimUgn IymO/e9zLYV2Oe7xjnffq7eTd2LEmPpAClbLAgRSG0xPnYKP9/1zCSJlTUa7QKhgxgTb5vGh1pUJ NzrgeMyd4BBKlVZgcx4qKVNr0eu0DAMSe+cQvc4sYydN1DcO906ui+JFet0Tf7B6wJ3F9nK8egWv 02fAIeEOv85jG20/l+5tVuppsSo2IDJO+e8YvvEZHRpmOoUrmSScAi6SfyZ767JkefpdZFPL//TN HVBLAwQUAAAACACHTuJA5KL+z8gBAACZAwAADgAAAGRycy9lMm9Eb2MueG1srVPNjtMwEL4j8Q6W 79RpD6iKmq4WVYuQECAtPIDr2I0l/8njNukLwBtw4sKd5+pzMHaS7rJc9rAXZzwz/ma+byabm8Ea cpIRtHcNXS4qSqQTvtXu0NBvX+/erCmBxF3LjXeyoWcJ9Gb7+tWmD7Vc+c6bVkaCIA7qPjS0SynU jIHopOWw8EE6DCofLU94jQfWRt4jujVsVVVvWe9jG6IXEgC9uzFIJ8T4HECvlBZy58XRSpdG1CgN T0gJOh2Abku3SkmRPisFMhHTUGSayolF0N7nk203vD5EHjotphb4c1p4wsly7bDoFWrHEyfHqP+D slpED16lhfCWjUSKIshiWT3R5r7jQRYuKDWEq+jwcrDi0+lLJLrFTaDEcYsDv/z8cfn15/L7O1lm efoANWbdB8xLwzs/5NTJD+jMrAcVbf4iH4JxFPd8FVcOiYj8aL1arysMCYzNF8RhD89DhPReekuy 0dCI0yui8tNHSGPqnJKrOX+njUE/r437x4GY2cNy72OP2UrDfpga3/v2jHx6HHxDHe45JeaDQ13z jsxGnI39bBxD1IeuLFGuB+H2mLCJ0luuMMJOhXFihd20XXklHt9L1sMftf0LUEsDBAoAAAAAAIdO 4kAAAAAAAAAAAAAAAAAGAAAAX3JlbHMvUEsDBBQAAAAIAIdO4kCKFGY80QAAAJQBAAALAAAAX3Jl bHMvLnJlbHOlkMFqwzAMhu+DvYPRfXGawxijTi+j0GvpHsDYimMaW0Yy2fr28w6DZfS2o36h7xP/ /vCZFrUiS6RsYNf1oDA78jEHA++X49MLKKk2e7tQRgM3FDiMjw/7My62tiOZYxHVKFkMzLWWV63F zZisdFQwt81EnGxtIwddrLvagHro+2fNvxkwbpjq5A3wyQ+gLrfSzH/YKTomoal2jpKmaYruHlUH tmWO7sg24Ru5RrMcsBrwLBoHalnXfgR9X7/7p97TRz7jutV+h4zrj1dvuhy/AFBLAwQUAAAACACH TuJAfublIPcAAADhAQAAEwAAAFtDb250ZW50X1R5cGVzXS54bWyVkUFOwzAQRfdI3MHyFiVOu0AI JemCtEtAqBxgZE8Si2RseUxob4+TthtEkVjaM/+/J7vcHMZBTBjYOqrkKi+kQNLOWOoq+b7fZQ9S cAQyMDjCSh6R5aa+vSn3R48sUpq4kn2M/lEp1j2OwLnzSGnSujBCTMfQKQ/6AzpU66K4V9pRRIpZ nDtkXTbYwucQxfaQrk8mAQeW4um0OLMqCd4PVkNMpmoi84OSnQl5Si473FvPd0lDql8J8+Q64Jx7 SU8TrEHxCiE+w5g0lAmsjPuigFP+d8lsOXLm2tZqzJvATYq94XSxutaOa9c4/d/y7ZK6dKvlg+pv UEsBAhQAFAAAAAgAh07iQH7m5SD3AAAA4QEAABMAAAAAAAAAAQAgAAAAMAQAAFtDb250ZW50X1R5 cGVzXS54bWxQSwECFAAKAAAAAACHTuJAAAAAAAAAAAAAAAAABgAAAAAAAAAAABAAAAASAwAAX3Jl bHMvUEsBAhQAFAAAAAgAh07iQIoUZjzRAAAAlAEAAAsAAAAAAAAAAQAgAAAANgMAAF9yZWxzLy5y ZWxzUEsBAhQACgAAAAAAh07iQAAAAAAAAAAAAAAAAAQAAAAAAAAAAAAQAAAAAAAAAGRycy9QSwEC FAAUAAAACACHTuJAzql5uc8AAAAFAQAADwAAAAAAAAABACAAAAAiAAAAZHJzL2Rvd25yZXYueG1s UEsBAhQAFAAAAAgAh07iQOSi/s/IAQAAmQMAAA4AAAAAAAAAAQAgAAAAHgEAAGRycy9lMm9Eb2Mu eG1sUEsFBgAAAAAGAAYAWQEAAFgFAAAAAA== ">
              <v:fill on="f" focussize="0,0"/>
              <v:stroke on="f"/>
              <v:imagedata o:title=""/>
              <o:lock v:ext="edit" aspectratio="f"/>
              <v:textbox inset="0mm,0mm,0mm,0mm" style="mso-fit-shape-to-text:t;">
                <w:txbxContent>
                  <w:p>
                    <w:pPr>
                      <w:pStyle w:val="4"/>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72D54"/>
    <w:rsid w:val="00034B45"/>
    <w:rsid w:val="000A4A40"/>
    <w:rsid w:val="00112995"/>
    <w:rsid w:val="00A57004"/>
    <w:rsid w:val="00EF3870"/>
    <w:rsid w:val="01276120"/>
    <w:rsid w:val="01292E6B"/>
    <w:rsid w:val="014F7B6E"/>
    <w:rsid w:val="01511258"/>
    <w:rsid w:val="015967FE"/>
    <w:rsid w:val="019E11B3"/>
    <w:rsid w:val="01A42E7E"/>
    <w:rsid w:val="01A775D9"/>
    <w:rsid w:val="01B60941"/>
    <w:rsid w:val="02701F7E"/>
    <w:rsid w:val="02721624"/>
    <w:rsid w:val="02B21423"/>
    <w:rsid w:val="02E608A0"/>
    <w:rsid w:val="02EF2D79"/>
    <w:rsid w:val="03147B85"/>
    <w:rsid w:val="033D7DA6"/>
    <w:rsid w:val="03562E2F"/>
    <w:rsid w:val="03E42784"/>
    <w:rsid w:val="04026EE9"/>
    <w:rsid w:val="04067B8D"/>
    <w:rsid w:val="040E2250"/>
    <w:rsid w:val="0414592F"/>
    <w:rsid w:val="04373E00"/>
    <w:rsid w:val="04491887"/>
    <w:rsid w:val="047F291F"/>
    <w:rsid w:val="047F40D0"/>
    <w:rsid w:val="04A95710"/>
    <w:rsid w:val="04C96E18"/>
    <w:rsid w:val="04CF483B"/>
    <w:rsid w:val="05283F7F"/>
    <w:rsid w:val="05501AD7"/>
    <w:rsid w:val="05721CEA"/>
    <w:rsid w:val="05877611"/>
    <w:rsid w:val="05AC71A4"/>
    <w:rsid w:val="05BB5E49"/>
    <w:rsid w:val="05E84904"/>
    <w:rsid w:val="060A158E"/>
    <w:rsid w:val="060B4F09"/>
    <w:rsid w:val="060D24D3"/>
    <w:rsid w:val="066E7586"/>
    <w:rsid w:val="06735460"/>
    <w:rsid w:val="06876935"/>
    <w:rsid w:val="06924863"/>
    <w:rsid w:val="06C11D6A"/>
    <w:rsid w:val="06C92B89"/>
    <w:rsid w:val="07016659"/>
    <w:rsid w:val="07413E1B"/>
    <w:rsid w:val="076169E4"/>
    <w:rsid w:val="076E3F15"/>
    <w:rsid w:val="07A03FF7"/>
    <w:rsid w:val="07D03716"/>
    <w:rsid w:val="07DC3A34"/>
    <w:rsid w:val="07E245DA"/>
    <w:rsid w:val="083948C9"/>
    <w:rsid w:val="08435B69"/>
    <w:rsid w:val="08443FC4"/>
    <w:rsid w:val="085D0F3E"/>
    <w:rsid w:val="08703DDB"/>
    <w:rsid w:val="08911752"/>
    <w:rsid w:val="08A67EB6"/>
    <w:rsid w:val="08AD675E"/>
    <w:rsid w:val="08B33244"/>
    <w:rsid w:val="08D162B6"/>
    <w:rsid w:val="08F06986"/>
    <w:rsid w:val="08F75E31"/>
    <w:rsid w:val="092E090E"/>
    <w:rsid w:val="096020E4"/>
    <w:rsid w:val="09743548"/>
    <w:rsid w:val="09940B5A"/>
    <w:rsid w:val="0996686E"/>
    <w:rsid w:val="0A016DB1"/>
    <w:rsid w:val="0A190C1A"/>
    <w:rsid w:val="0A1D43DC"/>
    <w:rsid w:val="0A4E5CBB"/>
    <w:rsid w:val="0A843DA6"/>
    <w:rsid w:val="0AC23008"/>
    <w:rsid w:val="0ACA6C76"/>
    <w:rsid w:val="0ACB336B"/>
    <w:rsid w:val="0AF52874"/>
    <w:rsid w:val="0B0F21C0"/>
    <w:rsid w:val="0B1A005C"/>
    <w:rsid w:val="0B5078D7"/>
    <w:rsid w:val="0B550C44"/>
    <w:rsid w:val="0B772BDC"/>
    <w:rsid w:val="0B8E2066"/>
    <w:rsid w:val="0BA35478"/>
    <w:rsid w:val="0BC04806"/>
    <w:rsid w:val="0BD65627"/>
    <w:rsid w:val="0C0F44E0"/>
    <w:rsid w:val="0CA1448F"/>
    <w:rsid w:val="0CA32AA8"/>
    <w:rsid w:val="0D2F20B4"/>
    <w:rsid w:val="0D452501"/>
    <w:rsid w:val="0D65075F"/>
    <w:rsid w:val="0D665132"/>
    <w:rsid w:val="0DBB6B0A"/>
    <w:rsid w:val="0DBC1A23"/>
    <w:rsid w:val="0DDC135D"/>
    <w:rsid w:val="0E1C1CBD"/>
    <w:rsid w:val="0E7552DD"/>
    <w:rsid w:val="0E79533D"/>
    <w:rsid w:val="0E7D57CF"/>
    <w:rsid w:val="0ECC3BEA"/>
    <w:rsid w:val="0F144184"/>
    <w:rsid w:val="0F1C62C7"/>
    <w:rsid w:val="0F2E1F67"/>
    <w:rsid w:val="0F3D5BBA"/>
    <w:rsid w:val="0F3F019D"/>
    <w:rsid w:val="0F3F0C21"/>
    <w:rsid w:val="0F800099"/>
    <w:rsid w:val="0F921EF8"/>
    <w:rsid w:val="0FC26152"/>
    <w:rsid w:val="0FC601BF"/>
    <w:rsid w:val="10060226"/>
    <w:rsid w:val="1021781E"/>
    <w:rsid w:val="109244B4"/>
    <w:rsid w:val="10E67F73"/>
    <w:rsid w:val="11350FC3"/>
    <w:rsid w:val="11403931"/>
    <w:rsid w:val="11427235"/>
    <w:rsid w:val="1160207C"/>
    <w:rsid w:val="11691213"/>
    <w:rsid w:val="11A678F3"/>
    <w:rsid w:val="11B2477D"/>
    <w:rsid w:val="120A0B74"/>
    <w:rsid w:val="1225480C"/>
    <w:rsid w:val="12305B44"/>
    <w:rsid w:val="12395882"/>
    <w:rsid w:val="12572C62"/>
    <w:rsid w:val="12832B16"/>
    <w:rsid w:val="12963B61"/>
    <w:rsid w:val="12A001D8"/>
    <w:rsid w:val="12A03FDD"/>
    <w:rsid w:val="12EB14A5"/>
    <w:rsid w:val="132B2CAB"/>
    <w:rsid w:val="13426212"/>
    <w:rsid w:val="13511047"/>
    <w:rsid w:val="13530689"/>
    <w:rsid w:val="13571F03"/>
    <w:rsid w:val="13584546"/>
    <w:rsid w:val="138132DE"/>
    <w:rsid w:val="138662BF"/>
    <w:rsid w:val="139B183B"/>
    <w:rsid w:val="13CD7E8D"/>
    <w:rsid w:val="141459E2"/>
    <w:rsid w:val="14295BBE"/>
    <w:rsid w:val="143746C5"/>
    <w:rsid w:val="14501E36"/>
    <w:rsid w:val="145B604C"/>
    <w:rsid w:val="15037188"/>
    <w:rsid w:val="15153CFF"/>
    <w:rsid w:val="154C316F"/>
    <w:rsid w:val="154E64F6"/>
    <w:rsid w:val="15BF24D2"/>
    <w:rsid w:val="16174016"/>
    <w:rsid w:val="16366EA1"/>
    <w:rsid w:val="16517A95"/>
    <w:rsid w:val="16A059C5"/>
    <w:rsid w:val="16C455F3"/>
    <w:rsid w:val="16F23847"/>
    <w:rsid w:val="176D5AE5"/>
    <w:rsid w:val="176F3CF4"/>
    <w:rsid w:val="177B4445"/>
    <w:rsid w:val="178C1D8E"/>
    <w:rsid w:val="17931257"/>
    <w:rsid w:val="17B07FD2"/>
    <w:rsid w:val="17B52230"/>
    <w:rsid w:val="17D226D1"/>
    <w:rsid w:val="17F03885"/>
    <w:rsid w:val="18152DA2"/>
    <w:rsid w:val="1816118F"/>
    <w:rsid w:val="182F4A44"/>
    <w:rsid w:val="18395CC2"/>
    <w:rsid w:val="183E0B42"/>
    <w:rsid w:val="18541566"/>
    <w:rsid w:val="186B1DF6"/>
    <w:rsid w:val="186F101A"/>
    <w:rsid w:val="18B75606"/>
    <w:rsid w:val="18D511E5"/>
    <w:rsid w:val="19642C59"/>
    <w:rsid w:val="197C2BAB"/>
    <w:rsid w:val="19934B8F"/>
    <w:rsid w:val="19C00F4B"/>
    <w:rsid w:val="19D421B6"/>
    <w:rsid w:val="1A2154AB"/>
    <w:rsid w:val="1A2D6009"/>
    <w:rsid w:val="1A365AD9"/>
    <w:rsid w:val="1A384EDA"/>
    <w:rsid w:val="1A3A7A46"/>
    <w:rsid w:val="1A4B3825"/>
    <w:rsid w:val="1A5214C4"/>
    <w:rsid w:val="1A604A6E"/>
    <w:rsid w:val="1A622F58"/>
    <w:rsid w:val="1AAE251F"/>
    <w:rsid w:val="1AB77BA8"/>
    <w:rsid w:val="1ABA1A9B"/>
    <w:rsid w:val="1AD210BC"/>
    <w:rsid w:val="1ADA5355"/>
    <w:rsid w:val="1AEB4A6C"/>
    <w:rsid w:val="1B113722"/>
    <w:rsid w:val="1BA34EBE"/>
    <w:rsid w:val="1BA64A02"/>
    <w:rsid w:val="1BBE4C21"/>
    <w:rsid w:val="1BCC526D"/>
    <w:rsid w:val="1C0F7370"/>
    <w:rsid w:val="1C1845D0"/>
    <w:rsid w:val="1C1C1C79"/>
    <w:rsid w:val="1C285793"/>
    <w:rsid w:val="1C38750B"/>
    <w:rsid w:val="1C432267"/>
    <w:rsid w:val="1C550A94"/>
    <w:rsid w:val="1C682658"/>
    <w:rsid w:val="1C731FF7"/>
    <w:rsid w:val="1C7F7769"/>
    <w:rsid w:val="1CB02F77"/>
    <w:rsid w:val="1CBB3285"/>
    <w:rsid w:val="1CC175BC"/>
    <w:rsid w:val="1CE53BF5"/>
    <w:rsid w:val="1D3B4CED"/>
    <w:rsid w:val="1D61464A"/>
    <w:rsid w:val="1D8231E6"/>
    <w:rsid w:val="1D901010"/>
    <w:rsid w:val="1DAA11E9"/>
    <w:rsid w:val="1DBE404A"/>
    <w:rsid w:val="1E16693C"/>
    <w:rsid w:val="1E2E1C47"/>
    <w:rsid w:val="1E5309C4"/>
    <w:rsid w:val="1E554167"/>
    <w:rsid w:val="1E783066"/>
    <w:rsid w:val="1E7D61A5"/>
    <w:rsid w:val="1E924A94"/>
    <w:rsid w:val="1EB41A4F"/>
    <w:rsid w:val="1ECB2665"/>
    <w:rsid w:val="1EDB0670"/>
    <w:rsid w:val="1F1A67CD"/>
    <w:rsid w:val="1F2406C6"/>
    <w:rsid w:val="1F6163BF"/>
    <w:rsid w:val="1F6278C1"/>
    <w:rsid w:val="1F8B5BAF"/>
    <w:rsid w:val="1F8F6EC3"/>
    <w:rsid w:val="1FA94F16"/>
    <w:rsid w:val="20255F25"/>
    <w:rsid w:val="20291CB3"/>
    <w:rsid w:val="202F73AB"/>
    <w:rsid w:val="2049150E"/>
    <w:rsid w:val="20540D0F"/>
    <w:rsid w:val="205913A2"/>
    <w:rsid w:val="20707F7E"/>
    <w:rsid w:val="20824933"/>
    <w:rsid w:val="20842F75"/>
    <w:rsid w:val="20844EDC"/>
    <w:rsid w:val="20853A42"/>
    <w:rsid w:val="20C80A9F"/>
    <w:rsid w:val="20CB3580"/>
    <w:rsid w:val="20CC6679"/>
    <w:rsid w:val="20D12D62"/>
    <w:rsid w:val="20D24D60"/>
    <w:rsid w:val="20EF11BB"/>
    <w:rsid w:val="20FE693B"/>
    <w:rsid w:val="2111037C"/>
    <w:rsid w:val="21210B07"/>
    <w:rsid w:val="213C39F7"/>
    <w:rsid w:val="21444B43"/>
    <w:rsid w:val="21486C01"/>
    <w:rsid w:val="214E64EB"/>
    <w:rsid w:val="215E2854"/>
    <w:rsid w:val="21665038"/>
    <w:rsid w:val="216820ED"/>
    <w:rsid w:val="219D0A68"/>
    <w:rsid w:val="21A66555"/>
    <w:rsid w:val="21AC0CB6"/>
    <w:rsid w:val="21C806DD"/>
    <w:rsid w:val="21C84029"/>
    <w:rsid w:val="2254336E"/>
    <w:rsid w:val="22BF5F1A"/>
    <w:rsid w:val="22F87C27"/>
    <w:rsid w:val="230D6FA9"/>
    <w:rsid w:val="235D5957"/>
    <w:rsid w:val="23866A70"/>
    <w:rsid w:val="23E8231D"/>
    <w:rsid w:val="23EA2D8E"/>
    <w:rsid w:val="23F16DBD"/>
    <w:rsid w:val="247728AF"/>
    <w:rsid w:val="24AD00E2"/>
    <w:rsid w:val="24B74192"/>
    <w:rsid w:val="24D85F11"/>
    <w:rsid w:val="2523105C"/>
    <w:rsid w:val="25242F6B"/>
    <w:rsid w:val="25261089"/>
    <w:rsid w:val="25365CD1"/>
    <w:rsid w:val="258861EB"/>
    <w:rsid w:val="2591552F"/>
    <w:rsid w:val="25A13587"/>
    <w:rsid w:val="25A36332"/>
    <w:rsid w:val="25C46206"/>
    <w:rsid w:val="25D20556"/>
    <w:rsid w:val="26153E79"/>
    <w:rsid w:val="26285F08"/>
    <w:rsid w:val="264C0E1C"/>
    <w:rsid w:val="26622DB4"/>
    <w:rsid w:val="26650EB8"/>
    <w:rsid w:val="26731BEC"/>
    <w:rsid w:val="26991832"/>
    <w:rsid w:val="26CD0188"/>
    <w:rsid w:val="27394F8E"/>
    <w:rsid w:val="27523E2B"/>
    <w:rsid w:val="280930C2"/>
    <w:rsid w:val="28234FB2"/>
    <w:rsid w:val="28353550"/>
    <w:rsid w:val="28373F3E"/>
    <w:rsid w:val="28905184"/>
    <w:rsid w:val="28A2570F"/>
    <w:rsid w:val="28D43AA3"/>
    <w:rsid w:val="28D91A73"/>
    <w:rsid w:val="292F7AB5"/>
    <w:rsid w:val="29391735"/>
    <w:rsid w:val="296E6EA5"/>
    <w:rsid w:val="29976D19"/>
    <w:rsid w:val="29B04233"/>
    <w:rsid w:val="29B409F0"/>
    <w:rsid w:val="29DC5911"/>
    <w:rsid w:val="2A717FA2"/>
    <w:rsid w:val="2A9F5D13"/>
    <w:rsid w:val="2ABF6C24"/>
    <w:rsid w:val="2ADD3382"/>
    <w:rsid w:val="2AE8452D"/>
    <w:rsid w:val="2B252CD9"/>
    <w:rsid w:val="2B3E1800"/>
    <w:rsid w:val="2B4F1786"/>
    <w:rsid w:val="2B856DA1"/>
    <w:rsid w:val="2BCA702D"/>
    <w:rsid w:val="2C06344A"/>
    <w:rsid w:val="2C0C5168"/>
    <w:rsid w:val="2C1B6AEB"/>
    <w:rsid w:val="2C317416"/>
    <w:rsid w:val="2C85031F"/>
    <w:rsid w:val="2C9C05BB"/>
    <w:rsid w:val="2CA11E70"/>
    <w:rsid w:val="2CC953AF"/>
    <w:rsid w:val="2D065459"/>
    <w:rsid w:val="2D3C0815"/>
    <w:rsid w:val="2D551503"/>
    <w:rsid w:val="2D7633A7"/>
    <w:rsid w:val="2D8D6A47"/>
    <w:rsid w:val="2DD14B22"/>
    <w:rsid w:val="2DDD3980"/>
    <w:rsid w:val="2DDF0704"/>
    <w:rsid w:val="2DE5291B"/>
    <w:rsid w:val="2E162F19"/>
    <w:rsid w:val="2E504D30"/>
    <w:rsid w:val="2E7C7ED0"/>
    <w:rsid w:val="2EBF1B8D"/>
    <w:rsid w:val="2EC01172"/>
    <w:rsid w:val="2EE27F02"/>
    <w:rsid w:val="2F1560C0"/>
    <w:rsid w:val="2F412AFA"/>
    <w:rsid w:val="2F716956"/>
    <w:rsid w:val="2F7572F7"/>
    <w:rsid w:val="2F827763"/>
    <w:rsid w:val="2FA757D8"/>
    <w:rsid w:val="2FEE69A6"/>
    <w:rsid w:val="306200F0"/>
    <w:rsid w:val="30705EF8"/>
    <w:rsid w:val="30986BE7"/>
    <w:rsid w:val="30B44244"/>
    <w:rsid w:val="30B7715D"/>
    <w:rsid w:val="30C24F02"/>
    <w:rsid w:val="30D63CF2"/>
    <w:rsid w:val="310D7CC9"/>
    <w:rsid w:val="3172637E"/>
    <w:rsid w:val="317F3D67"/>
    <w:rsid w:val="31A35982"/>
    <w:rsid w:val="31A47F94"/>
    <w:rsid w:val="31B72549"/>
    <w:rsid w:val="31F571E6"/>
    <w:rsid w:val="323F0E05"/>
    <w:rsid w:val="32646CEC"/>
    <w:rsid w:val="327379FA"/>
    <w:rsid w:val="32926FEA"/>
    <w:rsid w:val="32EF625F"/>
    <w:rsid w:val="32F77F3F"/>
    <w:rsid w:val="33285B6D"/>
    <w:rsid w:val="333618F4"/>
    <w:rsid w:val="333B15CC"/>
    <w:rsid w:val="334C5141"/>
    <w:rsid w:val="33793E0E"/>
    <w:rsid w:val="338836F4"/>
    <w:rsid w:val="33AF6BEE"/>
    <w:rsid w:val="34296063"/>
    <w:rsid w:val="34386AD2"/>
    <w:rsid w:val="349B6A4B"/>
    <w:rsid w:val="34D921AF"/>
    <w:rsid w:val="34E40B9E"/>
    <w:rsid w:val="34FE3DB4"/>
    <w:rsid w:val="351500C6"/>
    <w:rsid w:val="35335C9B"/>
    <w:rsid w:val="35386F12"/>
    <w:rsid w:val="35627325"/>
    <w:rsid w:val="357F7A7E"/>
    <w:rsid w:val="359A4299"/>
    <w:rsid w:val="35AA1B77"/>
    <w:rsid w:val="35BB146A"/>
    <w:rsid w:val="3619331F"/>
    <w:rsid w:val="364D5677"/>
    <w:rsid w:val="368C4536"/>
    <w:rsid w:val="36EF53F3"/>
    <w:rsid w:val="37282DBC"/>
    <w:rsid w:val="37502E47"/>
    <w:rsid w:val="375C6F10"/>
    <w:rsid w:val="37604A3D"/>
    <w:rsid w:val="3763046F"/>
    <w:rsid w:val="37667412"/>
    <w:rsid w:val="379A48E2"/>
    <w:rsid w:val="379C3BB7"/>
    <w:rsid w:val="37AB117E"/>
    <w:rsid w:val="37D61961"/>
    <w:rsid w:val="37E41E16"/>
    <w:rsid w:val="37E707E9"/>
    <w:rsid w:val="37EB4486"/>
    <w:rsid w:val="37F74C52"/>
    <w:rsid w:val="38145E69"/>
    <w:rsid w:val="3822751A"/>
    <w:rsid w:val="382D0B30"/>
    <w:rsid w:val="38694446"/>
    <w:rsid w:val="387265D1"/>
    <w:rsid w:val="389568AD"/>
    <w:rsid w:val="38F34CAE"/>
    <w:rsid w:val="393A0F87"/>
    <w:rsid w:val="393F6B8C"/>
    <w:rsid w:val="394B5B7A"/>
    <w:rsid w:val="394F0762"/>
    <w:rsid w:val="397618E6"/>
    <w:rsid w:val="398334A6"/>
    <w:rsid w:val="399143ED"/>
    <w:rsid w:val="399C6D06"/>
    <w:rsid w:val="39F523D9"/>
    <w:rsid w:val="3A0305F4"/>
    <w:rsid w:val="3A3F393A"/>
    <w:rsid w:val="3A764397"/>
    <w:rsid w:val="3A8E08AB"/>
    <w:rsid w:val="3AF32055"/>
    <w:rsid w:val="3AF745B2"/>
    <w:rsid w:val="3B0D06CA"/>
    <w:rsid w:val="3B0E1523"/>
    <w:rsid w:val="3B0E2BC1"/>
    <w:rsid w:val="3B10150F"/>
    <w:rsid w:val="3B1913B0"/>
    <w:rsid w:val="3B217121"/>
    <w:rsid w:val="3B4D746D"/>
    <w:rsid w:val="3B64507A"/>
    <w:rsid w:val="3B7539D5"/>
    <w:rsid w:val="3B95631A"/>
    <w:rsid w:val="3BAD7452"/>
    <w:rsid w:val="3BBA67C9"/>
    <w:rsid w:val="3BC5789D"/>
    <w:rsid w:val="3BDD31CE"/>
    <w:rsid w:val="3C36709E"/>
    <w:rsid w:val="3C3E3DD1"/>
    <w:rsid w:val="3C576B6D"/>
    <w:rsid w:val="3CC80866"/>
    <w:rsid w:val="3CCF2D44"/>
    <w:rsid w:val="3CEA2C1F"/>
    <w:rsid w:val="3D2B255F"/>
    <w:rsid w:val="3D2C1495"/>
    <w:rsid w:val="3D6400D0"/>
    <w:rsid w:val="3D696032"/>
    <w:rsid w:val="3D873FA7"/>
    <w:rsid w:val="3DCA60E8"/>
    <w:rsid w:val="3DD370DA"/>
    <w:rsid w:val="3DF57EB8"/>
    <w:rsid w:val="3E001606"/>
    <w:rsid w:val="3E1A5F4B"/>
    <w:rsid w:val="3E200EA3"/>
    <w:rsid w:val="3E822E90"/>
    <w:rsid w:val="3EF97CBD"/>
    <w:rsid w:val="3F01066C"/>
    <w:rsid w:val="3FA230F2"/>
    <w:rsid w:val="3FA7678B"/>
    <w:rsid w:val="3FA8340E"/>
    <w:rsid w:val="401175F4"/>
    <w:rsid w:val="402A0417"/>
    <w:rsid w:val="403F3341"/>
    <w:rsid w:val="4058716E"/>
    <w:rsid w:val="40705F35"/>
    <w:rsid w:val="40784FAD"/>
    <w:rsid w:val="407F750C"/>
    <w:rsid w:val="40963113"/>
    <w:rsid w:val="40A32BFA"/>
    <w:rsid w:val="40D14984"/>
    <w:rsid w:val="40EA444A"/>
    <w:rsid w:val="412B66CE"/>
    <w:rsid w:val="41512A26"/>
    <w:rsid w:val="41812FA9"/>
    <w:rsid w:val="4182142E"/>
    <w:rsid w:val="418336EA"/>
    <w:rsid w:val="41C05247"/>
    <w:rsid w:val="42070F29"/>
    <w:rsid w:val="420D1B91"/>
    <w:rsid w:val="426D6567"/>
    <w:rsid w:val="429C67A7"/>
    <w:rsid w:val="42AD2D65"/>
    <w:rsid w:val="42C271BA"/>
    <w:rsid w:val="42CF7C1D"/>
    <w:rsid w:val="42DB6E6D"/>
    <w:rsid w:val="42EA6946"/>
    <w:rsid w:val="434468E3"/>
    <w:rsid w:val="434740DF"/>
    <w:rsid w:val="43702F93"/>
    <w:rsid w:val="43A50C96"/>
    <w:rsid w:val="44324618"/>
    <w:rsid w:val="4482594F"/>
    <w:rsid w:val="44994F4D"/>
    <w:rsid w:val="44A31ACC"/>
    <w:rsid w:val="44A51573"/>
    <w:rsid w:val="44D26B54"/>
    <w:rsid w:val="453916BC"/>
    <w:rsid w:val="45CE7C4C"/>
    <w:rsid w:val="45EC5FEB"/>
    <w:rsid w:val="45F736A5"/>
    <w:rsid w:val="4633099A"/>
    <w:rsid w:val="464C751F"/>
    <w:rsid w:val="468F7DA0"/>
    <w:rsid w:val="469B3F7E"/>
    <w:rsid w:val="46B03499"/>
    <w:rsid w:val="4700503B"/>
    <w:rsid w:val="4706696D"/>
    <w:rsid w:val="47113037"/>
    <w:rsid w:val="47382FD8"/>
    <w:rsid w:val="47580E71"/>
    <w:rsid w:val="475A1B60"/>
    <w:rsid w:val="47601C7A"/>
    <w:rsid w:val="477F7281"/>
    <w:rsid w:val="47860733"/>
    <w:rsid w:val="47AC6AEF"/>
    <w:rsid w:val="47AD3A66"/>
    <w:rsid w:val="47DB462B"/>
    <w:rsid w:val="47DF64A0"/>
    <w:rsid w:val="484D49E3"/>
    <w:rsid w:val="486855A2"/>
    <w:rsid w:val="488E614C"/>
    <w:rsid w:val="48D272BD"/>
    <w:rsid w:val="48D84475"/>
    <w:rsid w:val="48DC2D1A"/>
    <w:rsid w:val="49105682"/>
    <w:rsid w:val="49241999"/>
    <w:rsid w:val="492B1DFC"/>
    <w:rsid w:val="494E1741"/>
    <w:rsid w:val="49553D12"/>
    <w:rsid w:val="49812CF9"/>
    <w:rsid w:val="49BD27D9"/>
    <w:rsid w:val="49C32606"/>
    <w:rsid w:val="49E015C9"/>
    <w:rsid w:val="49FF228D"/>
    <w:rsid w:val="4A130A8B"/>
    <w:rsid w:val="4A3272C2"/>
    <w:rsid w:val="4A483989"/>
    <w:rsid w:val="4A64250C"/>
    <w:rsid w:val="4A842482"/>
    <w:rsid w:val="4A8516D8"/>
    <w:rsid w:val="4AA738E0"/>
    <w:rsid w:val="4AAD6B93"/>
    <w:rsid w:val="4AD01E1A"/>
    <w:rsid w:val="4AE471B2"/>
    <w:rsid w:val="4AFC3E8E"/>
    <w:rsid w:val="4B104096"/>
    <w:rsid w:val="4B4B7FC2"/>
    <w:rsid w:val="4B5E26CE"/>
    <w:rsid w:val="4B7029A1"/>
    <w:rsid w:val="4B76791F"/>
    <w:rsid w:val="4B790541"/>
    <w:rsid w:val="4BAB5143"/>
    <w:rsid w:val="4BD14024"/>
    <w:rsid w:val="4BE25377"/>
    <w:rsid w:val="4BE531E0"/>
    <w:rsid w:val="4BF90FA4"/>
    <w:rsid w:val="4C017A1F"/>
    <w:rsid w:val="4C153395"/>
    <w:rsid w:val="4C5207AE"/>
    <w:rsid w:val="4C673746"/>
    <w:rsid w:val="4C8A628E"/>
    <w:rsid w:val="4C9832A8"/>
    <w:rsid w:val="4C9E7A67"/>
    <w:rsid w:val="4CA76709"/>
    <w:rsid w:val="4CAC7D76"/>
    <w:rsid w:val="4CBD53AE"/>
    <w:rsid w:val="4CC1763A"/>
    <w:rsid w:val="4CDE6559"/>
    <w:rsid w:val="4D046728"/>
    <w:rsid w:val="4D1206BF"/>
    <w:rsid w:val="4D241E6C"/>
    <w:rsid w:val="4D6F3BD9"/>
    <w:rsid w:val="4DB42D30"/>
    <w:rsid w:val="4DD25292"/>
    <w:rsid w:val="4DD80D90"/>
    <w:rsid w:val="4E042104"/>
    <w:rsid w:val="4E347E75"/>
    <w:rsid w:val="4E4933C2"/>
    <w:rsid w:val="4E732275"/>
    <w:rsid w:val="4E8107AF"/>
    <w:rsid w:val="4EAB6BC8"/>
    <w:rsid w:val="4EB421C5"/>
    <w:rsid w:val="4EE26404"/>
    <w:rsid w:val="4F673EE8"/>
    <w:rsid w:val="4F9A5001"/>
    <w:rsid w:val="4FB71475"/>
    <w:rsid w:val="4FF02F67"/>
    <w:rsid w:val="500E5EDD"/>
    <w:rsid w:val="501F49B5"/>
    <w:rsid w:val="50646D64"/>
    <w:rsid w:val="50880CED"/>
    <w:rsid w:val="50BA3053"/>
    <w:rsid w:val="50FB4DD1"/>
    <w:rsid w:val="5100469E"/>
    <w:rsid w:val="512B7592"/>
    <w:rsid w:val="51846EA7"/>
    <w:rsid w:val="51D97A8B"/>
    <w:rsid w:val="51E34EB8"/>
    <w:rsid w:val="51EA4CB7"/>
    <w:rsid w:val="51F80C95"/>
    <w:rsid w:val="521A20C4"/>
    <w:rsid w:val="52210A86"/>
    <w:rsid w:val="522B6251"/>
    <w:rsid w:val="52496310"/>
    <w:rsid w:val="526007CC"/>
    <w:rsid w:val="52867736"/>
    <w:rsid w:val="52BE76AE"/>
    <w:rsid w:val="52CE5E95"/>
    <w:rsid w:val="52CF4419"/>
    <w:rsid w:val="530653DD"/>
    <w:rsid w:val="53124DA1"/>
    <w:rsid w:val="53396C24"/>
    <w:rsid w:val="535F6287"/>
    <w:rsid w:val="536153F0"/>
    <w:rsid w:val="53A10A0B"/>
    <w:rsid w:val="53F378D8"/>
    <w:rsid w:val="540F129D"/>
    <w:rsid w:val="543742FB"/>
    <w:rsid w:val="543E2E38"/>
    <w:rsid w:val="54A46F6D"/>
    <w:rsid w:val="54D96004"/>
    <w:rsid w:val="55070ABE"/>
    <w:rsid w:val="557634E1"/>
    <w:rsid w:val="55A434E9"/>
    <w:rsid w:val="55D26BC3"/>
    <w:rsid w:val="55D62BEA"/>
    <w:rsid w:val="55E768BD"/>
    <w:rsid w:val="55EB37A1"/>
    <w:rsid w:val="55F5392F"/>
    <w:rsid w:val="55F932BC"/>
    <w:rsid w:val="5675402A"/>
    <w:rsid w:val="56827C3F"/>
    <w:rsid w:val="56B224C0"/>
    <w:rsid w:val="56CF6ACB"/>
    <w:rsid w:val="56EE42B6"/>
    <w:rsid w:val="5708400C"/>
    <w:rsid w:val="57183A74"/>
    <w:rsid w:val="573568EA"/>
    <w:rsid w:val="57773C92"/>
    <w:rsid w:val="57D1293C"/>
    <w:rsid w:val="57F95C2A"/>
    <w:rsid w:val="580C1DB1"/>
    <w:rsid w:val="582820C3"/>
    <w:rsid w:val="582A6D65"/>
    <w:rsid w:val="585C558C"/>
    <w:rsid w:val="587956F9"/>
    <w:rsid w:val="58A73AA6"/>
    <w:rsid w:val="58B05894"/>
    <w:rsid w:val="58B23052"/>
    <w:rsid w:val="58B81054"/>
    <w:rsid w:val="58BD53FE"/>
    <w:rsid w:val="58BF4FB7"/>
    <w:rsid w:val="58DD0CFA"/>
    <w:rsid w:val="58F4663F"/>
    <w:rsid w:val="58F97626"/>
    <w:rsid w:val="590C3076"/>
    <w:rsid w:val="59160132"/>
    <w:rsid w:val="59D85F30"/>
    <w:rsid w:val="59DD0C9A"/>
    <w:rsid w:val="59E74A49"/>
    <w:rsid w:val="59F34B37"/>
    <w:rsid w:val="59F55317"/>
    <w:rsid w:val="5A075E63"/>
    <w:rsid w:val="5A27573A"/>
    <w:rsid w:val="5A3E0EA1"/>
    <w:rsid w:val="5A4859E7"/>
    <w:rsid w:val="5A626EC9"/>
    <w:rsid w:val="5A8A1B4A"/>
    <w:rsid w:val="5AB61869"/>
    <w:rsid w:val="5ACF7E5C"/>
    <w:rsid w:val="5AF412E4"/>
    <w:rsid w:val="5B070BCF"/>
    <w:rsid w:val="5B203A22"/>
    <w:rsid w:val="5B527993"/>
    <w:rsid w:val="5B5C27B8"/>
    <w:rsid w:val="5B6670B3"/>
    <w:rsid w:val="5B693B9A"/>
    <w:rsid w:val="5B6B11E9"/>
    <w:rsid w:val="5B836D4E"/>
    <w:rsid w:val="5B8B6370"/>
    <w:rsid w:val="5B936B97"/>
    <w:rsid w:val="5B991D26"/>
    <w:rsid w:val="5BB115A2"/>
    <w:rsid w:val="5C1215B5"/>
    <w:rsid w:val="5C244D6B"/>
    <w:rsid w:val="5C290845"/>
    <w:rsid w:val="5C5950DF"/>
    <w:rsid w:val="5C5B3977"/>
    <w:rsid w:val="5C6717BA"/>
    <w:rsid w:val="5C746B0B"/>
    <w:rsid w:val="5CD61CA4"/>
    <w:rsid w:val="5CD83630"/>
    <w:rsid w:val="5CE94DC2"/>
    <w:rsid w:val="5CFC3977"/>
    <w:rsid w:val="5D0B50EF"/>
    <w:rsid w:val="5D337CB5"/>
    <w:rsid w:val="5D853F16"/>
    <w:rsid w:val="5DBB5C9E"/>
    <w:rsid w:val="5DBC2570"/>
    <w:rsid w:val="5E136AA0"/>
    <w:rsid w:val="5E2B2E38"/>
    <w:rsid w:val="5E2C3333"/>
    <w:rsid w:val="5E493798"/>
    <w:rsid w:val="5E586243"/>
    <w:rsid w:val="5E857D72"/>
    <w:rsid w:val="5E9B6FE6"/>
    <w:rsid w:val="5EB10408"/>
    <w:rsid w:val="5EC05A92"/>
    <w:rsid w:val="5EFD0E59"/>
    <w:rsid w:val="5F6931E6"/>
    <w:rsid w:val="5F7F1EE1"/>
    <w:rsid w:val="5F8C37BC"/>
    <w:rsid w:val="5FBB25F2"/>
    <w:rsid w:val="5FD92ADA"/>
    <w:rsid w:val="5FFB0B07"/>
    <w:rsid w:val="5FFE4F54"/>
    <w:rsid w:val="60560594"/>
    <w:rsid w:val="60611414"/>
    <w:rsid w:val="606176D2"/>
    <w:rsid w:val="60675F17"/>
    <w:rsid w:val="609A4B7B"/>
    <w:rsid w:val="61073138"/>
    <w:rsid w:val="61123463"/>
    <w:rsid w:val="618E1A80"/>
    <w:rsid w:val="61BF5B31"/>
    <w:rsid w:val="61F558B8"/>
    <w:rsid w:val="622D3443"/>
    <w:rsid w:val="62552982"/>
    <w:rsid w:val="62B123E4"/>
    <w:rsid w:val="62CD5C45"/>
    <w:rsid w:val="62D77A7F"/>
    <w:rsid w:val="62D850B9"/>
    <w:rsid w:val="630729D5"/>
    <w:rsid w:val="630D32AE"/>
    <w:rsid w:val="63A26CEB"/>
    <w:rsid w:val="63C56A23"/>
    <w:rsid w:val="63D76A9D"/>
    <w:rsid w:val="63F754F8"/>
    <w:rsid w:val="6474067C"/>
    <w:rsid w:val="649A7FE9"/>
    <w:rsid w:val="64CC496B"/>
    <w:rsid w:val="65174E17"/>
    <w:rsid w:val="651F09DF"/>
    <w:rsid w:val="652210EB"/>
    <w:rsid w:val="65794350"/>
    <w:rsid w:val="657D6472"/>
    <w:rsid w:val="659B6673"/>
    <w:rsid w:val="65C64580"/>
    <w:rsid w:val="66525880"/>
    <w:rsid w:val="66765696"/>
    <w:rsid w:val="669E66EB"/>
    <w:rsid w:val="66C95744"/>
    <w:rsid w:val="66E41FBE"/>
    <w:rsid w:val="66FB57CC"/>
    <w:rsid w:val="67090F98"/>
    <w:rsid w:val="673E4D9C"/>
    <w:rsid w:val="6740356B"/>
    <w:rsid w:val="67476CC8"/>
    <w:rsid w:val="675B2A11"/>
    <w:rsid w:val="67757E4A"/>
    <w:rsid w:val="679A5C28"/>
    <w:rsid w:val="67BA4A3A"/>
    <w:rsid w:val="67CF2170"/>
    <w:rsid w:val="67EC7A26"/>
    <w:rsid w:val="68143F2C"/>
    <w:rsid w:val="681F7678"/>
    <w:rsid w:val="68623565"/>
    <w:rsid w:val="686F3462"/>
    <w:rsid w:val="687A5204"/>
    <w:rsid w:val="687C48AE"/>
    <w:rsid w:val="68A74C99"/>
    <w:rsid w:val="68DB777F"/>
    <w:rsid w:val="68FD4E3A"/>
    <w:rsid w:val="6949590D"/>
    <w:rsid w:val="699026AD"/>
    <w:rsid w:val="69C26914"/>
    <w:rsid w:val="69CF6211"/>
    <w:rsid w:val="69E37B94"/>
    <w:rsid w:val="69E67729"/>
    <w:rsid w:val="6A4E42A1"/>
    <w:rsid w:val="6A632AD3"/>
    <w:rsid w:val="6A84509B"/>
    <w:rsid w:val="6A9816E9"/>
    <w:rsid w:val="6AA354C6"/>
    <w:rsid w:val="6ACC5319"/>
    <w:rsid w:val="6AD4151A"/>
    <w:rsid w:val="6ADD6771"/>
    <w:rsid w:val="6B083E55"/>
    <w:rsid w:val="6B57005C"/>
    <w:rsid w:val="6B8D3927"/>
    <w:rsid w:val="6B9B0681"/>
    <w:rsid w:val="6BB97111"/>
    <w:rsid w:val="6BCA6B66"/>
    <w:rsid w:val="6BD10292"/>
    <w:rsid w:val="6BD65086"/>
    <w:rsid w:val="6BDF6D43"/>
    <w:rsid w:val="6BE94CB0"/>
    <w:rsid w:val="6C247E67"/>
    <w:rsid w:val="6C427A82"/>
    <w:rsid w:val="6C595E57"/>
    <w:rsid w:val="6C630F37"/>
    <w:rsid w:val="6CA9025A"/>
    <w:rsid w:val="6CB564E8"/>
    <w:rsid w:val="6CB75BD6"/>
    <w:rsid w:val="6D045E4A"/>
    <w:rsid w:val="6D2E2594"/>
    <w:rsid w:val="6D2E55EA"/>
    <w:rsid w:val="6D364A56"/>
    <w:rsid w:val="6D507883"/>
    <w:rsid w:val="6DA901DD"/>
    <w:rsid w:val="6DAC3F16"/>
    <w:rsid w:val="6DC7239F"/>
    <w:rsid w:val="6DCF1523"/>
    <w:rsid w:val="6DE53954"/>
    <w:rsid w:val="6E2D7AEA"/>
    <w:rsid w:val="6E3B732E"/>
    <w:rsid w:val="6E437F85"/>
    <w:rsid w:val="6E4A2FA7"/>
    <w:rsid w:val="6E960A18"/>
    <w:rsid w:val="6ED07527"/>
    <w:rsid w:val="6F2F3B72"/>
    <w:rsid w:val="6F9C7DC6"/>
    <w:rsid w:val="6F9E17FF"/>
    <w:rsid w:val="6FA04405"/>
    <w:rsid w:val="6FC43F1A"/>
    <w:rsid w:val="6FEE3B27"/>
    <w:rsid w:val="6FFB4E81"/>
    <w:rsid w:val="70095140"/>
    <w:rsid w:val="701B26B0"/>
    <w:rsid w:val="701E56C1"/>
    <w:rsid w:val="70457740"/>
    <w:rsid w:val="70505934"/>
    <w:rsid w:val="706636AD"/>
    <w:rsid w:val="708320B8"/>
    <w:rsid w:val="70A52F0F"/>
    <w:rsid w:val="70BF6EAC"/>
    <w:rsid w:val="715B6DF0"/>
    <w:rsid w:val="716A74FE"/>
    <w:rsid w:val="71983FCC"/>
    <w:rsid w:val="71BE2868"/>
    <w:rsid w:val="71C70D0F"/>
    <w:rsid w:val="71C77393"/>
    <w:rsid w:val="71DA62D5"/>
    <w:rsid w:val="72544AD5"/>
    <w:rsid w:val="72834686"/>
    <w:rsid w:val="72BA37D1"/>
    <w:rsid w:val="72F04A82"/>
    <w:rsid w:val="72F6284E"/>
    <w:rsid w:val="73111840"/>
    <w:rsid w:val="732F5CE0"/>
    <w:rsid w:val="735F7A76"/>
    <w:rsid w:val="737C5636"/>
    <w:rsid w:val="73A020F1"/>
    <w:rsid w:val="73AB3864"/>
    <w:rsid w:val="73C734EC"/>
    <w:rsid w:val="73D72D54"/>
    <w:rsid w:val="749C342F"/>
    <w:rsid w:val="74A32466"/>
    <w:rsid w:val="74C20CC9"/>
    <w:rsid w:val="74D55F45"/>
    <w:rsid w:val="75213D60"/>
    <w:rsid w:val="75267B08"/>
    <w:rsid w:val="755406ED"/>
    <w:rsid w:val="756A1ED5"/>
    <w:rsid w:val="762B3711"/>
    <w:rsid w:val="763E33FE"/>
    <w:rsid w:val="765366C0"/>
    <w:rsid w:val="766C579E"/>
    <w:rsid w:val="76742C90"/>
    <w:rsid w:val="76820CCA"/>
    <w:rsid w:val="76A6708F"/>
    <w:rsid w:val="76C94304"/>
    <w:rsid w:val="76E01314"/>
    <w:rsid w:val="76F07D7C"/>
    <w:rsid w:val="77083036"/>
    <w:rsid w:val="77107791"/>
    <w:rsid w:val="7717199B"/>
    <w:rsid w:val="771A59E0"/>
    <w:rsid w:val="77262FA1"/>
    <w:rsid w:val="77AB5277"/>
    <w:rsid w:val="77D2588A"/>
    <w:rsid w:val="77FE601B"/>
    <w:rsid w:val="780073C7"/>
    <w:rsid w:val="781D210F"/>
    <w:rsid w:val="783F6CF0"/>
    <w:rsid w:val="784B0D1B"/>
    <w:rsid w:val="788F230F"/>
    <w:rsid w:val="78E44E0B"/>
    <w:rsid w:val="78EA2843"/>
    <w:rsid w:val="79170E28"/>
    <w:rsid w:val="795C052D"/>
    <w:rsid w:val="796E5DDD"/>
    <w:rsid w:val="798551A7"/>
    <w:rsid w:val="79A00331"/>
    <w:rsid w:val="79B867A5"/>
    <w:rsid w:val="79BC6710"/>
    <w:rsid w:val="79D9246E"/>
    <w:rsid w:val="79F958D3"/>
    <w:rsid w:val="7A092DFE"/>
    <w:rsid w:val="7A4C292E"/>
    <w:rsid w:val="7AB76F30"/>
    <w:rsid w:val="7ABD2964"/>
    <w:rsid w:val="7AD83B23"/>
    <w:rsid w:val="7B092A56"/>
    <w:rsid w:val="7B1866B0"/>
    <w:rsid w:val="7B26545E"/>
    <w:rsid w:val="7B3576ED"/>
    <w:rsid w:val="7B3C0F81"/>
    <w:rsid w:val="7B5E07DF"/>
    <w:rsid w:val="7BB267C4"/>
    <w:rsid w:val="7C260C58"/>
    <w:rsid w:val="7C381B91"/>
    <w:rsid w:val="7C6F6035"/>
    <w:rsid w:val="7D0A4DD0"/>
    <w:rsid w:val="7D29035F"/>
    <w:rsid w:val="7DC20FD0"/>
    <w:rsid w:val="7DD97376"/>
    <w:rsid w:val="7DDA3C6D"/>
    <w:rsid w:val="7DDD3DB1"/>
    <w:rsid w:val="7E2F79DD"/>
    <w:rsid w:val="7E4B6D51"/>
    <w:rsid w:val="7E897169"/>
    <w:rsid w:val="7F04182C"/>
    <w:rsid w:val="7F0471AE"/>
    <w:rsid w:val="7F435AE3"/>
    <w:rsid w:val="7F49525D"/>
    <w:rsid w:val="7F6902E1"/>
    <w:rsid w:val="7F697FDE"/>
    <w:rsid w:val="7F716C7F"/>
    <w:rsid w:val="7FA32FAB"/>
    <w:rsid w:val="7FB46227"/>
    <w:rsid w:val="7FC43A73"/>
    <w:rsid w:val="7FE17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页脚 字符"/>
    <w:basedOn w:val="8"/>
    <w:qFormat/>
    <w:uiPriority w:val="0"/>
    <w:rPr>
      <w:rFonts w:ascii="Arial Unicode MS" w:hAnsi="Arial Unicode MS" w:eastAsia="Arial Unicode MS" w:cs="Arial Unicode MS"/>
      <w:sz w:val="18"/>
      <w:szCs w:val="18"/>
      <w:lang w:val="zh-CN" w:bidi="zh-CN"/>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media/image1.jpeg" Type="http://schemas.openxmlformats.org/officeDocument/2006/relationships/image"/><Relationship Id="rId11" Target="media/image2.jpeg" Type="http://schemas.openxmlformats.org/officeDocument/2006/relationships/image"/><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footer3.xml" Type="http://schemas.openxmlformats.org/officeDocument/2006/relationships/footer"/><Relationship Id="rId7" Target="theme/theme1.xml" Type="http://schemas.openxmlformats.org/officeDocument/2006/relationships/theme"/><Relationship Id="rId8" Target="../customXml/item1.xml" Type="http://schemas.openxmlformats.org/officeDocument/2006/relationships/customXml"/><Relationship Id="rId9"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2021-08-31T01:09:00Z</dcterms:created>
  <dc:creator>Administrator</dc:creator>
  <cp:lastModifiedBy>XC</cp:lastModifiedBy>
  <dcterms:modified xsi:type="dcterms:W3CDTF">2021-09-16T10:31:25Z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EED05CEA200D4403A3DCB0EFF85B6FE6</vt:lpwstr>
  </property>
</Properties>
</file>